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D9BE8">
      <w:pPr>
        <w:autoSpaceDE w:val="0"/>
        <w:autoSpaceDN w:val="0"/>
        <w:spacing w:line="360" w:lineRule="auto"/>
        <w:jc w:val="both"/>
        <w:outlineLvl w:val="9"/>
        <w:rPr>
          <w:rFonts w:hint="default" w:ascii="宋体" w:hAnsi="宋体" w:eastAsia="宋体" w:cs="宋体"/>
          <w:b/>
          <w:color w:val="auto"/>
          <w:sz w:val="21"/>
          <w:szCs w:val="21"/>
          <w:highlight w:val="none"/>
          <w:lang w:val="en-US" w:eastAsia="zh-CN"/>
        </w:rPr>
      </w:pPr>
      <w:bookmarkStart w:id="0" w:name="_GoBack"/>
      <w:r>
        <w:rPr>
          <w:rFonts w:hint="eastAsia" w:ascii="宋体" w:hAnsi="宋体" w:cs="宋体"/>
          <w:b/>
          <w:color w:val="auto"/>
          <w:sz w:val="21"/>
          <w:szCs w:val="21"/>
          <w:highlight w:val="none"/>
          <w:lang w:val="en-US" w:eastAsia="zh-CN"/>
        </w:rPr>
        <w:t>附件2：评标办法</w:t>
      </w:r>
      <w:bookmarkEnd w:id="0"/>
    </w:p>
    <w:p w14:paraId="7F2442CB">
      <w:pPr>
        <w:autoSpaceDE w:val="0"/>
        <w:autoSpaceDN w:val="0"/>
        <w:spacing w:line="360" w:lineRule="auto"/>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评标办法前附表</w:t>
      </w:r>
    </w:p>
    <w:tbl>
      <w:tblPr>
        <w:tblStyle w:val="3"/>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07"/>
        <w:gridCol w:w="1431"/>
        <w:gridCol w:w="7222"/>
      </w:tblGrid>
      <w:tr w14:paraId="0EF06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6" w:hRule="atLeast"/>
        </w:trPr>
        <w:tc>
          <w:tcPr>
            <w:tcW w:w="656" w:type="pct"/>
            <w:vAlign w:val="center"/>
          </w:tcPr>
          <w:p w14:paraId="3E933D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条款号</w:t>
            </w:r>
          </w:p>
        </w:tc>
        <w:tc>
          <w:tcPr>
            <w:tcW w:w="718" w:type="pct"/>
            <w:vAlign w:val="center"/>
          </w:tcPr>
          <w:p w14:paraId="516AE6E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条款名称</w:t>
            </w:r>
          </w:p>
        </w:tc>
        <w:tc>
          <w:tcPr>
            <w:tcW w:w="3625" w:type="pct"/>
            <w:vAlign w:val="center"/>
          </w:tcPr>
          <w:p w14:paraId="07828BD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评审因素与评审标准</w:t>
            </w:r>
          </w:p>
        </w:tc>
      </w:tr>
      <w:tr w14:paraId="4D6FA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6" w:type="pct"/>
            <w:vAlign w:val="center"/>
          </w:tcPr>
          <w:p w14:paraId="17A9187D">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718" w:type="pct"/>
            <w:vAlign w:val="center"/>
          </w:tcPr>
          <w:p w14:paraId="41D679D3">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评标方法</w:t>
            </w:r>
          </w:p>
        </w:tc>
        <w:tc>
          <w:tcPr>
            <w:tcW w:w="3625" w:type="pct"/>
            <w:vAlign w:val="center"/>
          </w:tcPr>
          <w:p w14:paraId="12EEE9C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综合评分相等时，评标委员会依次按照以下优先顺序推荐中标候选人：</w:t>
            </w:r>
          </w:p>
          <w:p w14:paraId="5C27E833">
            <w:pPr>
              <w:numPr>
                <w:ilvl w:val="0"/>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（1）</w:t>
            </w:r>
            <w:r>
              <w:rPr>
                <w:rFonts w:hint="eastAsia" w:ascii="宋体" w:hAnsi="宋体" w:eastAsia="宋体" w:cs="宋体"/>
                <w:color w:val="auto"/>
                <w:sz w:val="21"/>
                <w:szCs w:val="21"/>
                <w:highlight w:val="none"/>
              </w:rPr>
              <w:t>评标价低的投标人优先；</w:t>
            </w:r>
          </w:p>
          <w:p w14:paraId="2640509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（2）技术建议方案得分较高的投标人优先；</w:t>
            </w:r>
          </w:p>
          <w:p w14:paraId="525DE2F8">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（3）评标委员会视投标人情况综合比较，投票确定其名次。</w:t>
            </w:r>
          </w:p>
        </w:tc>
      </w:tr>
      <w:tr w14:paraId="4C119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5" w:hRule="atLeast"/>
        </w:trPr>
        <w:tc>
          <w:tcPr>
            <w:tcW w:w="656" w:type="pct"/>
            <w:vAlign w:val="center"/>
          </w:tcPr>
          <w:p w14:paraId="461A0A12">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p w14:paraId="3F712091">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w:t>
            </w:r>
          </w:p>
        </w:tc>
        <w:tc>
          <w:tcPr>
            <w:tcW w:w="718" w:type="pct"/>
            <w:vAlign w:val="center"/>
          </w:tcPr>
          <w:p w14:paraId="4721ACE4">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初步评审（形式评审与响应性评审标准）</w:t>
            </w:r>
          </w:p>
        </w:tc>
        <w:tc>
          <w:tcPr>
            <w:tcW w:w="3625" w:type="pct"/>
            <w:vAlign w:val="center"/>
          </w:tcPr>
          <w:p w14:paraId="7DACB798">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第一个信封（商务及技术文件）评审标准：</w:t>
            </w:r>
          </w:p>
          <w:p w14:paraId="78ACD54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w:t>
            </w:r>
          </w:p>
          <w:p w14:paraId="080A75B0">
            <w:pPr>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号（如有）、补遗书编号（如有）；</w:t>
            </w:r>
          </w:p>
          <w:p w14:paraId="59837F7C">
            <w:pPr>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b.投标文件组成齐全完整，内容均按规定填写。</w:t>
            </w:r>
          </w:p>
          <w:p w14:paraId="6C75BFD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(2)投标文件上法定代表人或其授权代理人的签字、投标人的单位</w:t>
            </w:r>
            <w:r>
              <w:rPr>
                <w:rFonts w:hint="eastAsia" w:ascii="宋体" w:hAnsi="宋体" w:eastAsia="宋体" w:cs="宋体"/>
                <w:color w:val="auto"/>
                <w:sz w:val="21"/>
                <w:szCs w:val="21"/>
                <w:highlight w:val="none"/>
                <w:lang w:eastAsia="zh-CN"/>
              </w:rPr>
              <w:t>公</w:t>
            </w:r>
            <w:r>
              <w:rPr>
                <w:rFonts w:hint="eastAsia" w:ascii="宋体" w:hAnsi="宋体" w:eastAsia="宋体" w:cs="宋体"/>
                <w:color w:val="auto"/>
                <w:sz w:val="21"/>
                <w:szCs w:val="21"/>
                <w:highlight w:val="none"/>
              </w:rPr>
              <w:t>章齐全，符合招标文件规定。</w:t>
            </w:r>
          </w:p>
          <w:p w14:paraId="0B678BC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(3)投标人按照招标文件的规定提供了投标保证金：</w:t>
            </w:r>
          </w:p>
          <w:p w14:paraId="68CF09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a.投标保证金金额符合招标文件规定的金额，且投标保证金有效期不少于投标有效期；</w:t>
            </w:r>
          </w:p>
          <w:p w14:paraId="2A1345A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b.若投标保证金采用现金或支票形式提交，投标人应在投标人须知前附表3.4.1款规定的时间，将投标保证金由投标人的基本账户转入招标人指定账户；</w:t>
            </w:r>
          </w:p>
          <w:p w14:paraId="14555D3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c.若投标保证金采用银行保函形式提交，银行保函的格式、开具保函的银行均满足招标文件要求，银行保函原件</w:t>
            </w:r>
            <w:r>
              <w:rPr>
                <w:rFonts w:hint="eastAsia" w:ascii="宋体" w:hAnsi="宋体" w:eastAsia="宋体" w:cs="宋体"/>
                <w:color w:val="auto"/>
                <w:sz w:val="21"/>
                <w:szCs w:val="21"/>
                <w:highlight w:val="none"/>
                <w:lang w:val="en-US" w:eastAsia="zh-CN"/>
              </w:rPr>
              <w:t>或电子保函文件</w:t>
            </w:r>
            <w:r>
              <w:rPr>
                <w:rFonts w:hint="eastAsia" w:ascii="宋体" w:hAnsi="宋体" w:eastAsia="宋体" w:cs="宋体"/>
                <w:color w:val="auto"/>
                <w:sz w:val="21"/>
                <w:szCs w:val="21"/>
                <w:highlight w:val="none"/>
              </w:rPr>
              <w:t>在递交投标文件时单独密封递交，其复印件装订在投标文件中。</w:t>
            </w:r>
          </w:p>
          <w:p w14:paraId="290E9D07">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（4）投标人法定代表人</w:t>
            </w:r>
            <w:r>
              <w:rPr>
                <w:rFonts w:hint="eastAsia" w:ascii="宋体" w:hAnsi="宋体" w:eastAsia="宋体" w:cs="宋体"/>
                <w:color w:val="auto"/>
                <w:sz w:val="21"/>
                <w:szCs w:val="21"/>
                <w:highlight w:val="none"/>
                <w:lang w:eastAsia="zh-CN"/>
              </w:rPr>
              <w:t>（负责人）</w:t>
            </w:r>
            <w:r>
              <w:rPr>
                <w:rFonts w:hint="eastAsia" w:ascii="宋体" w:hAnsi="宋体" w:eastAsia="宋体" w:cs="宋体"/>
                <w:color w:val="auto"/>
                <w:sz w:val="21"/>
                <w:szCs w:val="21"/>
                <w:highlight w:val="none"/>
              </w:rPr>
              <w:t>授权委托代理人签署投标文件的，须提交授权委托书，且授权人和被授权人均在授权委托书上签名，未使用印章、签名章或其他电子制版签名代替。</w:t>
            </w:r>
          </w:p>
          <w:p w14:paraId="3B39776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（5）投标人法定代表人</w:t>
            </w:r>
            <w:r>
              <w:rPr>
                <w:rFonts w:hint="eastAsia" w:ascii="宋体" w:hAnsi="宋体" w:eastAsia="宋体" w:cs="宋体"/>
                <w:color w:val="auto"/>
                <w:sz w:val="21"/>
                <w:szCs w:val="21"/>
                <w:highlight w:val="none"/>
                <w:lang w:eastAsia="zh-CN"/>
              </w:rPr>
              <w:t>（负责人）</w:t>
            </w:r>
            <w:r>
              <w:rPr>
                <w:rFonts w:hint="eastAsia" w:ascii="宋体" w:hAnsi="宋体" w:eastAsia="宋体" w:cs="宋体"/>
                <w:color w:val="auto"/>
                <w:sz w:val="21"/>
                <w:szCs w:val="21"/>
                <w:highlight w:val="none"/>
              </w:rPr>
              <w:t>亲自签署投标文件的，提供了法定代表人</w:t>
            </w:r>
            <w:r>
              <w:rPr>
                <w:rFonts w:hint="eastAsia" w:ascii="宋体" w:hAnsi="宋体" w:eastAsia="宋体" w:cs="宋体"/>
                <w:color w:val="auto"/>
                <w:sz w:val="21"/>
                <w:szCs w:val="21"/>
                <w:highlight w:val="none"/>
                <w:lang w:eastAsia="zh-CN"/>
              </w:rPr>
              <w:t>（负责人）</w:t>
            </w:r>
            <w:r>
              <w:rPr>
                <w:rFonts w:hint="eastAsia" w:ascii="宋体" w:hAnsi="宋体" w:eastAsia="宋体" w:cs="宋体"/>
                <w:color w:val="auto"/>
                <w:sz w:val="21"/>
                <w:szCs w:val="21"/>
                <w:highlight w:val="none"/>
              </w:rPr>
              <w:t>身份证明，且法定代表人</w:t>
            </w:r>
            <w:r>
              <w:rPr>
                <w:rFonts w:hint="eastAsia" w:ascii="宋体" w:hAnsi="宋体" w:eastAsia="宋体" w:cs="宋体"/>
                <w:color w:val="auto"/>
                <w:sz w:val="21"/>
                <w:szCs w:val="21"/>
                <w:highlight w:val="none"/>
                <w:lang w:eastAsia="zh-CN"/>
              </w:rPr>
              <w:t>（负责人）</w:t>
            </w:r>
            <w:r>
              <w:rPr>
                <w:rFonts w:hint="eastAsia" w:ascii="宋体" w:hAnsi="宋体" w:eastAsia="宋体" w:cs="宋体"/>
                <w:color w:val="auto"/>
                <w:sz w:val="21"/>
                <w:szCs w:val="21"/>
                <w:highlight w:val="none"/>
              </w:rPr>
              <w:t>在法定代表人</w:t>
            </w:r>
            <w:r>
              <w:rPr>
                <w:rFonts w:hint="eastAsia" w:ascii="宋体" w:hAnsi="宋体" w:eastAsia="宋体" w:cs="宋体"/>
                <w:color w:val="auto"/>
                <w:sz w:val="21"/>
                <w:szCs w:val="21"/>
                <w:highlight w:val="none"/>
                <w:lang w:eastAsia="zh-CN"/>
              </w:rPr>
              <w:t>（负责人）</w:t>
            </w:r>
            <w:r>
              <w:rPr>
                <w:rFonts w:hint="eastAsia" w:ascii="宋体" w:hAnsi="宋体" w:eastAsia="宋体" w:cs="宋体"/>
                <w:color w:val="auto"/>
                <w:sz w:val="21"/>
                <w:szCs w:val="21"/>
                <w:highlight w:val="none"/>
              </w:rPr>
              <w:t>身份证明上签名，未使用印章、签名章或其他电子制版签名代替。</w:t>
            </w:r>
          </w:p>
          <w:p w14:paraId="2AFE6CE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（6）同一投标人未提交两个以上不同的投标文件，但招标文件要求提交备选投标的除外。</w:t>
            </w:r>
          </w:p>
          <w:p w14:paraId="1BB5135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(7)投标文件中未出现有关投标报价的内容。</w:t>
            </w:r>
          </w:p>
          <w:p w14:paraId="3BDD7EE7">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(8)投标文件载明的招标项目完成期限未超过招标文件规定的时限。</w:t>
            </w:r>
          </w:p>
          <w:p w14:paraId="1160979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(9)投标文件对招标文件的实质性要求和条件作出响应。</w:t>
            </w:r>
          </w:p>
          <w:p w14:paraId="56FBE40A">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（10）权利义务符合招标文件规定：</w:t>
            </w:r>
          </w:p>
          <w:p w14:paraId="0AA1B51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a.投标人应接受招标文件规定的风险划分原则，未提出新的风险划分办法；</w:t>
            </w:r>
          </w:p>
          <w:p w14:paraId="594F21F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b.投标人未增加</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的责任范围，或减少投标人义务；</w:t>
            </w:r>
          </w:p>
          <w:p w14:paraId="1624667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c.投标人未提出不同的支付办法；</w:t>
            </w:r>
          </w:p>
          <w:p w14:paraId="7D50F78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d.投标人对合同纠纷、事故处理办法未提出异议；</w:t>
            </w:r>
          </w:p>
          <w:p w14:paraId="5C3A2C0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e.投标人在投标活动中无欺诈行为；</w:t>
            </w:r>
          </w:p>
          <w:p w14:paraId="0ECBEA5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f.投标人未对合同条款有重要保留。</w:t>
            </w:r>
          </w:p>
          <w:p w14:paraId="62A7FB18">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）投标文件正、副本份数符合招标文件</w:t>
            </w:r>
            <w:r>
              <w:rPr>
                <w:rFonts w:hint="eastAsia" w:ascii="宋体" w:hAnsi="宋体" w:eastAsia="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第3.7.4项规定。</w:t>
            </w:r>
          </w:p>
          <w:p w14:paraId="00A8E2F4">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第二信封（报价文件）评审标准：</w:t>
            </w:r>
          </w:p>
          <w:p w14:paraId="445970F7">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（1）投标文件按照招标文件规定的格式、内容填写，字迹清晰可辨，内容齐全完整：</w:t>
            </w:r>
          </w:p>
          <w:p w14:paraId="6CEE699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a.报价函按招标文件规定填报了项目名称、</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号、补遗书编号（如有）、投标总报价（包括大写金额和小写金额）；</w:t>
            </w:r>
          </w:p>
          <w:p w14:paraId="335C063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b.投标报价明细表说明文字与招标文件规定一致，未进行实质性修改和删减；</w:t>
            </w:r>
          </w:p>
          <w:p w14:paraId="686C2CCE">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c.投标文件组成齐全完整，内容均按规定填写。</w:t>
            </w:r>
          </w:p>
          <w:p w14:paraId="2582402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（2）投标文件上法定代表人或其委托代理人的签字、投标人的单位</w:t>
            </w:r>
            <w:r>
              <w:rPr>
                <w:rFonts w:hint="eastAsia" w:ascii="宋体" w:hAnsi="宋体" w:eastAsia="宋体" w:cs="宋体"/>
                <w:color w:val="auto"/>
                <w:sz w:val="21"/>
                <w:szCs w:val="21"/>
                <w:highlight w:val="none"/>
                <w:lang w:eastAsia="zh-CN"/>
              </w:rPr>
              <w:t>公</w:t>
            </w:r>
            <w:r>
              <w:rPr>
                <w:rFonts w:hint="eastAsia" w:ascii="宋体" w:hAnsi="宋体" w:eastAsia="宋体" w:cs="宋体"/>
                <w:color w:val="auto"/>
                <w:sz w:val="21"/>
                <w:szCs w:val="21"/>
                <w:highlight w:val="none"/>
              </w:rPr>
              <w:t>章盖章齐全，符合招标文件规定。</w:t>
            </w:r>
          </w:p>
          <w:p w14:paraId="0666023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（3）投标总报价未超过招标文件设定的最高投标限价（如有）。</w:t>
            </w:r>
          </w:p>
          <w:p w14:paraId="7B804186">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（4）投标总报价的大写金额能够确定具体数值。</w:t>
            </w:r>
          </w:p>
          <w:p w14:paraId="2D38CD7A">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（5）同一投标人未提交两个以上不同的投标总报价，但招标文件要求提交备选投标的除外。</w:t>
            </w:r>
          </w:p>
          <w:p w14:paraId="6D63FBF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（6）投标文件正、副本份数符合招标文件</w:t>
            </w:r>
            <w:r>
              <w:rPr>
                <w:rFonts w:hint="eastAsia" w:ascii="宋体" w:hAnsi="宋体" w:eastAsia="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第3.7.4项规定。</w:t>
            </w:r>
          </w:p>
        </w:tc>
      </w:tr>
      <w:tr w14:paraId="15A9E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0" w:hRule="atLeast"/>
        </w:trPr>
        <w:tc>
          <w:tcPr>
            <w:tcW w:w="656" w:type="pct"/>
            <w:vAlign w:val="center"/>
          </w:tcPr>
          <w:p w14:paraId="508DB3A1">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p>
        </w:tc>
        <w:tc>
          <w:tcPr>
            <w:tcW w:w="718" w:type="pct"/>
            <w:vAlign w:val="center"/>
          </w:tcPr>
          <w:p w14:paraId="064AFF32">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资格评审标准</w:t>
            </w:r>
          </w:p>
        </w:tc>
        <w:tc>
          <w:tcPr>
            <w:tcW w:w="3625" w:type="pct"/>
            <w:vAlign w:val="center"/>
          </w:tcPr>
          <w:p w14:paraId="1CF319A3">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（1）投标人为具有独立法人资格的公司。</w:t>
            </w:r>
          </w:p>
          <w:p w14:paraId="71FFE9A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具备有效的营业执照、组织机构代码证（如有）、资质证书和基本账户开户许可证（若投标人无法提供基本账户开户许可证，则需附上开户银行出具的“基本存款账户信息”或“人民银行账户管理系统查询的基本账户信息截图”，并加盖单位公章）。</w:t>
            </w:r>
          </w:p>
          <w:p w14:paraId="7C8567C0">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（3）投标人的资格符合招标文件规定。</w:t>
            </w:r>
          </w:p>
          <w:p w14:paraId="38F48B45">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（4）投标人的财务符合招标文件规定。</w:t>
            </w:r>
          </w:p>
          <w:p w14:paraId="58393429">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（5）投标人的人员资格符合招标文件规定。</w:t>
            </w:r>
          </w:p>
          <w:p w14:paraId="1040393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（6）投标人的类似项目业绩符合招标文件规定。</w:t>
            </w:r>
          </w:p>
          <w:p w14:paraId="2F753BAC">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（7）投标人的信誉符合招标文件规定。</w:t>
            </w:r>
          </w:p>
          <w:p w14:paraId="3F827DF2">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（8）投标人的其他要求符合招标文件规定。</w:t>
            </w:r>
          </w:p>
          <w:p w14:paraId="5889AD46">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（9）投标人不存在</w:t>
            </w:r>
            <w:r>
              <w:rPr>
                <w:rFonts w:hint="eastAsia" w:ascii="宋体" w:hAnsi="宋体" w:eastAsia="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第1.4.2项或第1.4.3项或1.4.4项规定的任何一种情形。</w:t>
            </w:r>
          </w:p>
        </w:tc>
      </w:tr>
      <w:tr w14:paraId="0A88D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4" w:hRule="atLeast"/>
        </w:trPr>
        <w:tc>
          <w:tcPr>
            <w:tcW w:w="656" w:type="pct"/>
            <w:vAlign w:val="center"/>
          </w:tcPr>
          <w:p w14:paraId="32DB0459">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718" w:type="pct"/>
            <w:vAlign w:val="center"/>
          </w:tcPr>
          <w:p w14:paraId="7BC92F75">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分值构成</w:t>
            </w:r>
          </w:p>
          <w:p w14:paraId="5DD8BF71">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(总分100分)</w:t>
            </w:r>
          </w:p>
        </w:tc>
        <w:tc>
          <w:tcPr>
            <w:tcW w:w="3625" w:type="pct"/>
            <w:vAlign w:val="center"/>
          </w:tcPr>
          <w:p w14:paraId="7F1A9D2C">
            <w:pPr>
              <w:pStyle w:val="5"/>
              <w:shd w:val="clear" w:color="auto" w:fill="auto"/>
              <w:spacing w:line="360" w:lineRule="auto"/>
              <w:jc w:val="both"/>
              <w:rPr>
                <w:rStyle w:val="6"/>
                <w:rFonts w:hint="eastAsia" w:ascii="宋体" w:hAnsi="宋体" w:eastAsia="宋体" w:cs="宋体"/>
                <w:b/>
                <w:color w:val="auto"/>
                <w:sz w:val="21"/>
                <w:szCs w:val="21"/>
                <w:highlight w:val="none"/>
              </w:rPr>
            </w:pPr>
            <w:r>
              <w:rPr>
                <w:rStyle w:val="6"/>
                <w:rFonts w:hint="eastAsia" w:ascii="宋体" w:hAnsi="宋体" w:eastAsia="宋体" w:cs="宋体"/>
                <w:b/>
                <w:color w:val="auto"/>
                <w:sz w:val="21"/>
                <w:szCs w:val="21"/>
                <w:highlight w:val="none"/>
              </w:rPr>
              <w:t>第一个信封（商务及技术文件）评分分值构成：</w:t>
            </w:r>
          </w:p>
          <w:p w14:paraId="2A8D760A">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技术方案：</w:t>
            </w:r>
            <w:r>
              <w:rPr>
                <w:rFonts w:hint="eastAsia" w:ascii="宋体" w:hAnsi="宋体" w:eastAsia="宋体" w:cs="宋体"/>
                <w:color w:val="auto"/>
                <w:sz w:val="21"/>
                <w:szCs w:val="21"/>
                <w:highlight w:val="none"/>
                <w:u w:val="single"/>
                <w:lang w:val="en-US" w:eastAsia="zh-CN"/>
              </w:rPr>
              <w:t>30</w:t>
            </w:r>
            <w:r>
              <w:rPr>
                <w:rFonts w:hint="eastAsia" w:ascii="宋体" w:hAnsi="宋体" w:eastAsia="宋体" w:cs="宋体"/>
                <w:color w:val="auto"/>
                <w:sz w:val="21"/>
                <w:szCs w:val="21"/>
                <w:highlight w:val="none"/>
              </w:rPr>
              <w:t>分</w:t>
            </w:r>
          </w:p>
          <w:p w14:paraId="364136D3">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商务</w:t>
            </w:r>
            <w:r>
              <w:rPr>
                <w:rFonts w:hint="eastAsia" w:ascii="宋体" w:hAnsi="宋体" w:eastAsia="宋体" w:cs="宋体"/>
                <w:color w:val="auto"/>
                <w:sz w:val="21"/>
                <w:szCs w:val="21"/>
                <w:highlight w:val="none"/>
              </w:rPr>
              <w:t>能力：</w:t>
            </w:r>
            <w:r>
              <w:rPr>
                <w:rFonts w:hint="eastAsia" w:ascii="宋体" w:hAnsi="宋体" w:eastAsia="宋体" w:cs="宋体"/>
                <w:color w:val="auto"/>
                <w:sz w:val="21"/>
                <w:szCs w:val="21"/>
                <w:highlight w:val="none"/>
                <w:u w:val="single"/>
                <w:lang w:val="en-US" w:eastAsia="zh-CN"/>
              </w:rPr>
              <w:t>20</w:t>
            </w:r>
            <w:r>
              <w:rPr>
                <w:rFonts w:hint="eastAsia" w:ascii="宋体" w:hAnsi="宋体" w:eastAsia="宋体" w:cs="宋体"/>
                <w:color w:val="auto"/>
                <w:sz w:val="21"/>
                <w:szCs w:val="21"/>
                <w:highlight w:val="none"/>
              </w:rPr>
              <w:t>分</w:t>
            </w:r>
          </w:p>
          <w:p w14:paraId="15D55E6A">
            <w:pPr>
              <w:pStyle w:val="5"/>
              <w:shd w:val="clear" w:color="auto" w:fill="auto"/>
              <w:spacing w:line="360" w:lineRule="auto"/>
              <w:jc w:val="both"/>
              <w:rPr>
                <w:rStyle w:val="6"/>
                <w:rFonts w:hint="eastAsia" w:ascii="宋体" w:hAnsi="宋体" w:eastAsia="宋体" w:cs="宋体"/>
                <w:b/>
                <w:color w:val="auto"/>
                <w:sz w:val="21"/>
                <w:szCs w:val="21"/>
                <w:highlight w:val="none"/>
              </w:rPr>
            </w:pPr>
            <w:r>
              <w:rPr>
                <w:rStyle w:val="6"/>
                <w:rFonts w:hint="eastAsia" w:ascii="宋体" w:hAnsi="宋体" w:eastAsia="宋体" w:cs="宋体"/>
                <w:b/>
                <w:color w:val="auto"/>
                <w:sz w:val="21"/>
                <w:szCs w:val="21"/>
                <w:highlight w:val="none"/>
              </w:rPr>
              <w:t>第二信封（报价文件）评分分值构成：</w:t>
            </w:r>
          </w:p>
          <w:p w14:paraId="7BE4117D">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w:t>
            </w:r>
            <w:r>
              <w:rPr>
                <w:rFonts w:hint="eastAsia" w:ascii="宋体" w:hAnsi="宋体" w:eastAsia="宋体" w:cs="宋体"/>
                <w:color w:val="auto"/>
                <w:sz w:val="21"/>
                <w:szCs w:val="21"/>
                <w:highlight w:val="none"/>
                <w:lang w:val="en-US" w:eastAsia="zh-CN"/>
              </w:rPr>
              <w:t>50</w:t>
            </w:r>
            <w:r>
              <w:rPr>
                <w:rFonts w:hint="eastAsia" w:ascii="宋体" w:hAnsi="宋体" w:eastAsia="宋体" w:cs="宋体"/>
                <w:color w:val="auto"/>
                <w:sz w:val="21"/>
                <w:szCs w:val="21"/>
                <w:highlight w:val="none"/>
              </w:rPr>
              <w:t>分</w:t>
            </w:r>
          </w:p>
        </w:tc>
      </w:tr>
      <w:tr w14:paraId="6CFC7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6" w:type="pct"/>
            <w:vAlign w:val="center"/>
          </w:tcPr>
          <w:p w14:paraId="7818E1B3">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718" w:type="pct"/>
            <w:vAlign w:val="center"/>
          </w:tcPr>
          <w:p w14:paraId="338DFFC0">
            <w:pPr>
              <w:spacing w:line="480" w:lineRule="exact"/>
              <w:jc w:val="center"/>
              <w:rPr>
                <w:rFonts w:hint="eastAsia" w:ascii="宋体" w:hAnsi="宋体" w:eastAsia="宋体" w:cs="宋体"/>
                <w:color w:val="auto"/>
                <w:sz w:val="21"/>
                <w:szCs w:val="21"/>
                <w:highlight w:val="none"/>
              </w:rPr>
            </w:pPr>
            <w:r>
              <w:rPr>
                <w:rStyle w:val="7"/>
                <w:rFonts w:hint="eastAsia" w:ascii="宋体" w:hAnsi="宋体" w:eastAsia="宋体" w:cs="宋体"/>
                <w:color w:val="auto"/>
                <w:sz w:val="21"/>
                <w:szCs w:val="21"/>
                <w:highlight w:val="none"/>
              </w:rPr>
              <w:t>评标基准价计算方法</w:t>
            </w:r>
          </w:p>
        </w:tc>
        <w:tc>
          <w:tcPr>
            <w:tcW w:w="3625" w:type="pct"/>
          </w:tcPr>
          <w:p w14:paraId="40391CD9">
            <w:pPr>
              <w:spacing w:line="360" w:lineRule="auto"/>
              <w:ind w:left="100" w:leftChars="50" w:right="116" w:rightChars="5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评标基准价的计算：</w:t>
            </w:r>
          </w:p>
          <w:p w14:paraId="3AEC40A9">
            <w:pPr>
              <w:spacing w:line="360" w:lineRule="auto"/>
              <w:ind w:right="116" w:rightChars="58" w:firstLine="420" w:firstLineChars="200"/>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rPr>
              <w:t>在开标现场，招标人将当场计算并宣布评标基准价。</w:t>
            </w:r>
          </w:p>
          <w:p w14:paraId="228FAC76">
            <w:pPr>
              <w:tabs>
                <w:tab w:val="left" w:pos="413"/>
              </w:tabs>
              <w:spacing w:line="360" w:lineRule="auto"/>
              <w:ind w:left="100" w:leftChars="50" w:right="116" w:rightChars="58"/>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rPr>
              <w:t>（1）评标价的确定：</w:t>
            </w:r>
          </w:p>
          <w:p w14:paraId="7E33C58E">
            <w:pPr>
              <w:spacing w:line="360" w:lineRule="auto"/>
              <w:ind w:right="116" w:rightChars="58" w:firstLine="420" w:firstLineChars="200"/>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rPr>
              <w:t>评标价=投标函文字报价</w:t>
            </w:r>
          </w:p>
          <w:p w14:paraId="12DF3558">
            <w:pPr>
              <w:spacing w:line="360" w:lineRule="auto"/>
              <w:ind w:left="100" w:leftChars="50" w:right="116" w:rightChars="5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snapToGrid w:val="0"/>
                <w:color w:val="auto"/>
                <w:sz w:val="21"/>
                <w:szCs w:val="21"/>
                <w:highlight w:val="none"/>
              </w:rPr>
              <w:t>最高评标限价的确定</w:t>
            </w:r>
            <w:r>
              <w:rPr>
                <w:rFonts w:hint="eastAsia" w:ascii="宋体" w:hAnsi="宋体" w:eastAsia="宋体" w:cs="宋体"/>
                <w:color w:val="auto"/>
                <w:sz w:val="21"/>
                <w:szCs w:val="21"/>
                <w:highlight w:val="none"/>
              </w:rPr>
              <w:t>：</w:t>
            </w:r>
          </w:p>
          <w:p w14:paraId="2439AF1E">
            <w:pPr>
              <w:snapToGrid w:val="0"/>
              <w:spacing w:line="360" w:lineRule="auto"/>
              <w:ind w:right="116" w:rightChars="58" w:firstLine="420" w:firstLineChars="200"/>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下浮率在开标前在开标现场采取摇珠方式确定。摇珠操作办法如下：在下浮率区间差值不小于3个百分点的摇珠范围内，以0.1%为一档次增序确定摇珠号码，不少于31个球，依次摇出3个球(摇出的球不放回)，摇出3个球对应的下浮率的平均值即为本</w:t>
            </w:r>
            <w:r>
              <w:rPr>
                <w:rFonts w:hint="eastAsia" w:ascii="宋体" w:hAnsi="宋体" w:eastAsia="宋体" w:cs="宋体"/>
                <w:snapToGrid w:val="0"/>
                <w:color w:val="auto"/>
                <w:sz w:val="21"/>
                <w:szCs w:val="21"/>
                <w:highlight w:val="none"/>
                <w:lang w:eastAsia="zh-CN"/>
              </w:rPr>
              <w:t>项目</w:t>
            </w:r>
            <w:r>
              <w:rPr>
                <w:rFonts w:hint="eastAsia" w:ascii="宋体" w:hAnsi="宋体" w:eastAsia="宋体" w:cs="宋体"/>
                <w:snapToGrid w:val="0"/>
                <w:color w:val="auto"/>
                <w:sz w:val="21"/>
                <w:szCs w:val="21"/>
                <w:highlight w:val="none"/>
              </w:rPr>
              <w:t>招标的下浮率（注：摇出3个下浮率的平均值四舍五入取整到0.001％）。</w:t>
            </w:r>
          </w:p>
          <w:p w14:paraId="35F1453F">
            <w:pPr>
              <w:snapToGrid w:val="0"/>
              <w:spacing w:line="360" w:lineRule="auto"/>
              <w:ind w:left="100" w:leftChars="50" w:right="116" w:rightChars="58" w:firstLine="420" w:firstLineChars="200"/>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最高评标限价＝最高投标限价×（1-下浮率</w:t>
            </w:r>
            <w:r>
              <w:rPr>
                <w:rFonts w:hint="eastAsia" w:ascii="宋体" w:hAnsi="宋体" w:eastAsia="宋体" w:cs="宋体"/>
                <w:snapToGrid w:val="0"/>
                <w:color w:val="auto"/>
                <w:sz w:val="21"/>
                <w:szCs w:val="21"/>
                <w:highlight w:val="none"/>
                <w:lang w:eastAsia="zh-CN"/>
              </w:rPr>
              <w:t>）</w:t>
            </w:r>
          </w:p>
          <w:p w14:paraId="618FED9B">
            <w:pPr>
              <w:spacing w:line="360" w:lineRule="auto"/>
              <w:ind w:left="100" w:leftChars="50" w:right="116" w:rightChars="58"/>
              <w:rPr>
                <w:rFonts w:hint="eastAsia" w:ascii="宋体" w:hAnsi="宋体" w:eastAsia="宋体" w:cs="宋体"/>
                <w:snapToGrid w:val="0"/>
                <w:color w:val="auto"/>
                <w:sz w:val="21"/>
                <w:szCs w:val="21"/>
                <w:highlight w:val="none"/>
              </w:rPr>
            </w:pPr>
            <w:r>
              <w:rPr>
                <w:rFonts w:hint="eastAsia" w:ascii="宋体" w:hAnsi="宋体" w:eastAsia="宋体" w:cs="宋体"/>
                <w:color w:val="auto"/>
                <w:sz w:val="21"/>
                <w:szCs w:val="21"/>
                <w:highlight w:val="none"/>
              </w:rPr>
              <w:t>（3）有效评标价范围：</w:t>
            </w:r>
          </w:p>
          <w:p w14:paraId="2FEA7912">
            <w:pPr>
              <w:spacing w:line="360" w:lineRule="auto"/>
              <w:ind w:left="100" w:leftChars="50" w:right="116" w:rightChars="58" w:firstLine="420" w:firstLineChars="200"/>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有效评标价范围为：</w:t>
            </w:r>
            <w:r>
              <w:rPr>
                <w:rFonts w:hint="eastAsia" w:ascii="宋体" w:hAnsi="宋体" w:eastAsia="宋体" w:cs="宋体"/>
                <w:color w:val="auto"/>
                <w:sz w:val="21"/>
                <w:szCs w:val="21"/>
                <w:highlight w:val="none"/>
              </w:rPr>
              <w:t>不大于最高评标限价的评标价为</w:t>
            </w:r>
            <w:r>
              <w:rPr>
                <w:rFonts w:hint="eastAsia" w:ascii="宋体" w:hAnsi="宋体" w:eastAsia="宋体" w:cs="宋体"/>
                <w:snapToGrid w:val="0"/>
                <w:color w:val="auto"/>
                <w:sz w:val="21"/>
                <w:szCs w:val="21"/>
                <w:highlight w:val="none"/>
              </w:rPr>
              <w:t>有效评标价</w:t>
            </w:r>
            <w:r>
              <w:rPr>
                <w:rFonts w:hint="eastAsia" w:ascii="宋体" w:hAnsi="宋体" w:eastAsia="宋体" w:cs="宋体"/>
                <w:color w:val="auto"/>
                <w:sz w:val="21"/>
                <w:szCs w:val="21"/>
                <w:highlight w:val="none"/>
              </w:rPr>
              <w:t>。若大于最高评标限价的评标价，其评标价得分为0分。</w:t>
            </w:r>
          </w:p>
          <w:p w14:paraId="07223163">
            <w:pPr>
              <w:spacing w:line="360" w:lineRule="auto"/>
              <w:ind w:left="100" w:leftChars="50" w:right="116" w:rightChars="5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（4）评标基准价的确定：</w:t>
            </w:r>
          </w:p>
          <w:p w14:paraId="6AB81151">
            <w:pPr>
              <w:spacing w:line="360" w:lineRule="auto"/>
              <w:ind w:left="100" w:leftChars="50" w:right="116" w:rightChars="58"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最高评标限价下浮</w:t>
            </w:r>
            <w:r>
              <w:rPr>
                <w:rFonts w:hint="eastAsia" w:ascii="宋体" w:hAnsi="宋体" w:eastAsia="宋体" w:cs="宋体"/>
                <w:color w:val="auto"/>
                <w:sz w:val="21"/>
                <w:szCs w:val="21"/>
                <w:highlight w:val="none"/>
                <w:u w:val="single"/>
              </w:rPr>
              <w:t>3.0%</w:t>
            </w:r>
            <w:r>
              <w:rPr>
                <w:rFonts w:hint="eastAsia" w:ascii="宋体" w:hAnsi="宋体" w:eastAsia="宋体" w:cs="宋体"/>
                <w:color w:val="auto"/>
                <w:sz w:val="21"/>
                <w:szCs w:val="21"/>
                <w:highlight w:val="none"/>
              </w:rPr>
              <w:t>作为评标基准价。</w:t>
            </w:r>
          </w:p>
          <w:p w14:paraId="55EDC572">
            <w:pPr>
              <w:spacing w:line="360" w:lineRule="auto"/>
              <w:ind w:left="100" w:leftChars="50" w:right="116" w:rightChars="58"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p w14:paraId="0F49D0C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r>
              <w:rPr>
                <w:rFonts w:hint="eastAsia" w:ascii="宋体" w:hAnsi="宋体" w:eastAsia="宋体" w:cs="宋体"/>
                <w:color w:val="auto"/>
                <w:sz w:val="21"/>
                <w:szCs w:val="21"/>
                <w:highlight w:val="none"/>
                <w:lang w:eastAsia="zh-CN"/>
              </w:rPr>
              <w:t>一年期杠杆型保障</w:t>
            </w:r>
            <w:r>
              <w:rPr>
                <w:rFonts w:hint="eastAsia" w:ascii="宋体" w:hAnsi="宋体" w:eastAsia="宋体" w:cs="宋体"/>
                <w:color w:val="auto"/>
                <w:sz w:val="21"/>
                <w:szCs w:val="21"/>
                <w:highlight w:val="none"/>
              </w:rPr>
              <w:t>最高评标限价、评标基准价四舍五入至个位整数元。补充医疗基金管理费</w:t>
            </w:r>
            <w:r>
              <w:rPr>
                <w:rFonts w:hint="eastAsia" w:ascii="宋体" w:hAnsi="宋体" w:eastAsia="宋体" w:cs="宋体"/>
                <w:color w:val="auto"/>
                <w:sz w:val="21"/>
                <w:szCs w:val="21"/>
                <w:highlight w:val="none"/>
                <w:lang w:eastAsia="zh-CN"/>
              </w:rPr>
              <w:t>率</w:t>
            </w:r>
            <w:r>
              <w:rPr>
                <w:rFonts w:hint="eastAsia" w:ascii="宋体" w:hAnsi="宋体" w:eastAsia="宋体" w:cs="宋体"/>
                <w:color w:val="auto"/>
                <w:sz w:val="21"/>
                <w:szCs w:val="21"/>
                <w:highlight w:val="none"/>
              </w:rPr>
              <w:t>最高评标限价、评标基准价</w:t>
            </w:r>
            <w:r>
              <w:rPr>
                <w:rFonts w:hint="eastAsia" w:ascii="宋体" w:hAnsi="宋体" w:eastAsia="宋体" w:cs="宋体"/>
                <w:color w:val="auto"/>
                <w:sz w:val="21"/>
                <w:szCs w:val="21"/>
                <w:highlight w:val="none"/>
                <w:lang w:eastAsia="zh-CN"/>
              </w:rPr>
              <w:t>四舍五入至小数点</w:t>
            </w:r>
            <w:r>
              <w:rPr>
                <w:rFonts w:hint="eastAsia" w:ascii="宋体" w:hAnsi="宋体" w:eastAsia="宋体" w:cs="宋体"/>
                <w:color w:val="auto"/>
                <w:sz w:val="21"/>
                <w:szCs w:val="21"/>
                <w:highlight w:val="none"/>
                <w:lang w:val="en-US" w:eastAsia="zh-CN"/>
              </w:rPr>
              <w:t>2位。</w:t>
            </w:r>
          </w:p>
        </w:tc>
      </w:tr>
      <w:tr w14:paraId="38147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6" w:type="pct"/>
            <w:vAlign w:val="center"/>
          </w:tcPr>
          <w:p w14:paraId="609919C3">
            <w:pPr>
              <w:spacing w:line="4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w:t>
            </w:r>
          </w:p>
        </w:tc>
        <w:tc>
          <w:tcPr>
            <w:tcW w:w="718" w:type="pct"/>
            <w:vAlign w:val="center"/>
          </w:tcPr>
          <w:p w14:paraId="55388BB2">
            <w:pPr>
              <w:jc w:val="center"/>
              <w:rPr>
                <w:rStyle w:val="7"/>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评标价的偏差率</w:t>
            </w:r>
          </w:p>
        </w:tc>
        <w:tc>
          <w:tcPr>
            <w:tcW w:w="3625" w:type="pct"/>
            <w:vAlign w:val="center"/>
          </w:tcPr>
          <w:p w14:paraId="32A3A3C3">
            <w:pPr>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偏差率=100%×(投标人评标价－评标基准价)/评标基准价</w:t>
            </w:r>
          </w:p>
        </w:tc>
      </w:tr>
    </w:tbl>
    <w:p w14:paraId="474C3FFE">
      <w:pPr>
        <w:widowControl/>
        <w:spacing w:line="360" w:lineRule="auto"/>
        <w:jc w:val="right"/>
        <w:rPr>
          <w:rFonts w:hint="eastAsia" w:ascii="宋体" w:hAnsi="宋体" w:eastAsia="宋体" w:cs="宋体"/>
          <w:color w:val="auto"/>
          <w:sz w:val="21"/>
          <w:szCs w:val="21"/>
          <w:highlight w:val="none"/>
        </w:rPr>
      </w:pPr>
    </w:p>
    <w:p w14:paraId="5FA76179">
      <w:pPr>
        <w:widowControl/>
        <w:wordWrap w:val="0"/>
        <w:spacing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续上表  </w:t>
      </w:r>
    </w:p>
    <w:tbl>
      <w:tblPr>
        <w:tblStyle w:val="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1371"/>
        <w:gridCol w:w="1379"/>
        <w:gridCol w:w="1640"/>
        <w:gridCol w:w="4357"/>
      </w:tblGrid>
      <w:tr w14:paraId="12F1E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trPr>
        <w:tc>
          <w:tcPr>
            <w:tcW w:w="609" w:type="pct"/>
            <w:vMerge w:val="restart"/>
            <w:vAlign w:val="center"/>
          </w:tcPr>
          <w:p w14:paraId="5C70149B">
            <w:pPr>
              <w:tabs>
                <w:tab w:val="left" w:pos="1019"/>
              </w:tabs>
              <w:spacing w:line="32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条款号</w:t>
            </w:r>
          </w:p>
        </w:tc>
        <w:tc>
          <w:tcPr>
            <w:tcW w:w="688" w:type="pct"/>
            <w:vMerge w:val="restart"/>
            <w:vAlign w:val="center"/>
          </w:tcPr>
          <w:p w14:paraId="06FDFA89">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条款名称</w:t>
            </w:r>
          </w:p>
        </w:tc>
        <w:tc>
          <w:tcPr>
            <w:tcW w:w="3702" w:type="pct"/>
            <w:gridSpan w:val="3"/>
            <w:vAlign w:val="center"/>
          </w:tcPr>
          <w:p w14:paraId="43ED1422">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评审因素与评审标准</w:t>
            </w:r>
          </w:p>
        </w:tc>
      </w:tr>
      <w:tr w14:paraId="572F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09" w:type="pct"/>
            <w:vMerge w:val="continue"/>
            <w:vAlign w:val="center"/>
          </w:tcPr>
          <w:p w14:paraId="0F2A0FF8">
            <w:pPr>
              <w:rPr>
                <w:rFonts w:hint="eastAsia" w:ascii="宋体" w:hAnsi="宋体" w:eastAsia="宋体" w:cs="宋体"/>
                <w:color w:val="auto"/>
                <w:sz w:val="21"/>
                <w:szCs w:val="21"/>
                <w:highlight w:val="none"/>
              </w:rPr>
            </w:pPr>
          </w:p>
        </w:tc>
        <w:tc>
          <w:tcPr>
            <w:tcW w:w="688" w:type="pct"/>
            <w:vMerge w:val="continue"/>
            <w:vAlign w:val="center"/>
          </w:tcPr>
          <w:p w14:paraId="3268F8A1">
            <w:pPr>
              <w:spacing w:line="320" w:lineRule="exact"/>
              <w:jc w:val="center"/>
              <w:rPr>
                <w:rFonts w:hint="eastAsia" w:ascii="宋体" w:hAnsi="宋体" w:eastAsia="宋体" w:cs="宋体"/>
                <w:color w:val="auto"/>
                <w:sz w:val="21"/>
                <w:szCs w:val="21"/>
                <w:highlight w:val="none"/>
              </w:rPr>
            </w:pPr>
          </w:p>
        </w:tc>
        <w:tc>
          <w:tcPr>
            <w:tcW w:w="692" w:type="pct"/>
            <w:vAlign w:val="center"/>
          </w:tcPr>
          <w:p w14:paraId="46FE8F62">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w:t>
            </w:r>
          </w:p>
        </w:tc>
        <w:tc>
          <w:tcPr>
            <w:tcW w:w="823" w:type="pct"/>
            <w:vAlign w:val="center"/>
          </w:tcPr>
          <w:p w14:paraId="208C039B">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各评审因素基本要求</w:t>
            </w:r>
          </w:p>
        </w:tc>
        <w:tc>
          <w:tcPr>
            <w:tcW w:w="2186" w:type="pct"/>
            <w:vAlign w:val="center"/>
          </w:tcPr>
          <w:p w14:paraId="1005D8A4">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评分标准</w:t>
            </w:r>
          </w:p>
        </w:tc>
      </w:tr>
      <w:tr w14:paraId="5BAC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9" w:hRule="atLeast"/>
        </w:trPr>
        <w:tc>
          <w:tcPr>
            <w:tcW w:w="609" w:type="pct"/>
            <w:vMerge w:val="restart"/>
            <w:vAlign w:val="center"/>
          </w:tcPr>
          <w:p w14:paraId="2A102771">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w:t>
            </w:r>
          </w:p>
        </w:tc>
        <w:tc>
          <w:tcPr>
            <w:tcW w:w="688" w:type="pct"/>
            <w:vMerge w:val="restart"/>
            <w:vAlign w:val="center"/>
          </w:tcPr>
          <w:p w14:paraId="71C2B7D4">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详细评审</w:t>
            </w:r>
          </w:p>
        </w:tc>
        <w:tc>
          <w:tcPr>
            <w:tcW w:w="692" w:type="pct"/>
            <w:vMerge w:val="restart"/>
            <w:vAlign w:val="center"/>
          </w:tcPr>
          <w:p w14:paraId="702BFB57">
            <w:pP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技术方案</w:t>
            </w:r>
          </w:p>
          <w:p w14:paraId="027824DD">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30</w:t>
            </w:r>
            <w:r>
              <w:rPr>
                <w:rFonts w:hint="eastAsia" w:ascii="宋体" w:hAnsi="宋体" w:eastAsia="宋体" w:cs="宋体"/>
                <w:color w:val="auto"/>
                <w:sz w:val="21"/>
                <w:szCs w:val="21"/>
                <w:highlight w:val="none"/>
              </w:rPr>
              <w:t>分)</w:t>
            </w:r>
          </w:p>
        </w:tc>
        <w:tc>
          <w:tcPr>
            <w:tcW w:w="823" w:type="pct"/>
            <w:vAlign w:val="center"/>
          </w:tcPr>
          <w:p w14:paraId="40278D59">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理赔服务方案</w:t>
            </w:r>
          </w:p>
          <w:p w14:paraId="2CAF0473">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（满分1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分）</w:t>
            </w:r>
          </w:p>
        </w:tc>
        <w:tc>
          <w:tcPr>
            <w:tcW w:w="2186" w:type="pct"/>
            <w:vAlign w:val="center"/>
          </w:tcPr>
          <w:p w14:paraId="55102F25">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根据投标人提供的理赔服务方案进行评审（方案内容包含：①理赔流程；②理赔方式；③理赔资料；④理赔通知；⑤查询方式）： </w:t>
            </w:r>
          </w:p>
          <w:p w14:paraId="58A42F02">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1、理赔服务方案中每提供一项上述内容且对应内容完整明确的，得1分，最高得5分。</w:t>
            </w:r>
          </w:p>
          <w:p w14:paraId="4E533152">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2、对理赔可提供的便捷式理赔方式进行评分（满分5分）：</w:t>
            </w:r>
          </w:p>
          <w:p w14:paraId="3EB3BB66">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可以提供自主开发的网络平台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网站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、手机APP、微信小程序等3个或以上理赔和查询服务途径的，得5分</w:t>
            </w:r>
            <w:r>
              <w:rPr>
                <w:rFonts w:hint="eastAsia" w:ascii="宋体" w:hAnsi="宋体" w:eastAsia="宋体" w:cs="宋体"/>
                <w:color w:val="auto"/>
                <w:sz w:val="21"/>
                <w:szCs w:val="21"/>
                <w:highlight w:val="none"/>
                <w:lang w:val="en-US" w:eastAsia="zh-CN"/>
              </w:rPr>
              <w:t>；</w:t>
            </w:r>
          </w:p>
          <w:p w14:paraId="0CB5AE8F">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（2）少于3个理赔和查询服务途径的得1分。</w:t>
            </w:r>
          </w:p>
          <w:p w14:paraId="3C267FCD">
            <w:pPr>
              <w:spacing w:line="360" w:lineRule="auto"/>
              <w:jc w:val="left"/>
              <w:rPr>
                <w:rFonts w:hint="eastAsia" w:ascii="宋体" w:hAnsi="宋体" w:eastAsia="宋体" w:cs="宋体"/>
                <w:color w:val="auto"/>
                <w:highlight w:val="none"/>
                <w:lang w:val="en-US"/>
              </w:rPr>
            </w:pPr>
            <w:r>
              <w:rPr>
                <w:rFonts w:hint="eastAsia" w:ascii="宋体" w:hAnsi="宋体" w:eastAsia="宋体" w:cs="宋体"/>
                <w:color w:val="auto"/>
                <w:sz w:val="21"/>
                <w:szCs w:val="21"/>
                <w:highlight w:val="none"/>
                <w:lang w:val="en-US" w:eastAsia="zh-CN"/>
              </w:rPr>
              <w:t>注：提供各种理赔方式的操作截图并加盖投标人公章，否则不得分。</w:t>
            </w:r>
          </w:p>
        </w:tc>
      </w:tr>
      <w:tr w14:paraId="3FFA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09" w:type="pct"/>
            <w:vMerge w:val="continue"/>
            <w:vAlign w:val="center"/>
          </w:tcPr>
          <w:p w14:paraId="66765B0C">
            <w:pPr>
              <w:spacing w:line="360" w:lineRule="auto"/>
              <w:rPr>
                <w:rFonts w:hint="eastAsia" w:ascii="宋体" w:hAnsi="宋体" w:eastAsia="宋体" w:cs="宋体"/>
                <w:color w:val="auto"/>
                <w:sz w:val="21"/>
                <w:szCs w:val="21"/>
                <w:highlight w:val="none"/>
              </w:rPr>
            </w:pPr>
          </w:p>
        </w:tc>
        <w:tc>
          <w:tcPr>
            <w:tcW w:w="688" w:type="pct"/>
            <w:vMerge w:val="continue"/>
            <w:vAlign w:val="center"/>
          </w:tcPr>
          <w:p w14:paraId="0F7488C5">
            <w:pPr>
              <w:spacing w:line="360" w:lineRule="auto"/>
              <w:jc w:val="center"/>
              <w:rPr>
                <w:rFonts w:hint="eastAsia" w:ascii="宋体" w:hAnsi="宋体" w:eastAsia="宋体" w:cs="宋体"/>
                <w:color w:val="auto"/>
                <w:sz w:val="21"/>
                <w:szCs w:val="21"/>
                <w:highlight w:val="none"/>
              </w:rPr>
            </w:pPr>
          </w:p>
        </w:tc>
        <w:tc>
          <w:tcPr>
            <w:tcW w:w="692" w:type="pct"/>
            <w:vMerge w:val="continue"/>
            <w:vAlign w:val="center"/>
          </w:tcPr>
          <w:p w14:paraId="6157F858">
            <w:pPr>
              <w:spacing w:line="360" w:lineRule="auto"/>
              <w:jc w:val="center"/>
              <w:rPr>
                <w:rFonts w:hint="eastAsia" w:ascii="宋体" w:hAnsi="宋体" w:eastAsia="宋体" w:cs="宋体"/>
                <w:color w:val="auto"/>
                <w:sz w:val="21"/>
                <w:szCs w:val="21"/>
                <w:highlight w:val="none"/>
              </w:rPr>
            </w:pPr>
          </w:p>
        </w:tc>
        <w:tc>
          <w:tcPr>
            <w:tcW w:w="823" w:type="pct"/>
            <w:vAlign w:val="center"/>
          </w:tcPr>
          <w:p w14:paraId="54205C45">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补充医疗基金</w:t>
            </w:r>
            <w:r>
              <w:rPr>
                <w:rFonts w:hint="eastAsia" w:ascii="宋体" w:hAnsi="宋体" w:eastAsia="宋体" w:cs="宋体"/>
                <w:color w:val="auto"/>
                <w:spacing w:val="2"/>
                <w:sz w:val="21"/>
                <w:szCs w:val="21"/>
                <w:highlight w:val="none"/>
              </w:rPr>
              <w:t>受托及风险</w:t>
            </w:r>
            <w:r>
              <w:rPr>
                <w:rFonts w:hint="eastAsia" w:ascii="宋体" w:hAnsi="宋体" w:eastAsia="宋体" w:cs="宋体"/>
                <w:color w:val="auto"/>
                <w:spacing w:val="5"/>
                <w:sz w:val="21"/>
                <w:szCs w:val="21"/>
                <w:highlight w:val="none"/>
              </w:rPr>
              <w:t>管理能力</w:t>
            </w:r>
            <w:r>
              <w:rPr>
                <w:rFonts w:hint="eastAsia" w:ascii="宋体" w:hAnsi="宋体" w:eastAsia="宋体" w:cs="宋体"/>
                <w:color w:val="auto"/>
                <w:spacing w:val="5"/>
                <w:sz w:val="21"/>
                <w:szCs w:val="21"/>
                <w:highlight w:val="none"/>
                <w:lang w:val="en-US" w:eastAsia="zh-CN"/>
              </w:rPr>
              <w:t>方案</w:t>
            </w:r>
          </w:p>
          <w:p w14:paraId="0387F4B2">
            <w:pPr>
              <w:pStyle w:val="2"/>
              <w:spacing w:line="360" w:lineRule="auto"/>
              <w:ind w:firstLine="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（满分10分）</w:t>
            </w:r>
          </w:p>
        </w:tc>
        <w:tc>
          <w:tcPr>
            <w:tcW w:w="2186" w:type="pct"/>
            <w:vAlign w:val="center"/>
          </w:tcPr>
          <w:p w14:paraId="069A0812">
            <w:pPr>
              <w:spacing w:line="360" w:lineRule="auto"/>
              <w:jc w:val="left"/>
              <w:rPr>
                <w:rFonts w:hint="eastAsia" w:ascii="宋体" w:hAnsi="宋体" w:eastAsia="宋体" w:cs="宋体"/>
                <w:color w:val="auto"/>
                <w:spacing w:val="-11"/>
                <w:sz w:val="21"/>
                <w:szCs w:val="21"/>
                <w:highlight w:val="none"/>
                <w:lang w:val="en-US" w:eastAsia="zh-CN"/>
              </w:rPr>
            </w:pPr>
            <w:r>
              <w:rPr>
                <w:rFonts w:hint="eastAsia" w:ascii="宋体" w:hAnsi="宋体" w:eastAsia="宋体" w:cs="宋体"/>
                <w:color w:val="auto"/>
                <w:spacing w:val="-11"/>
                <w:sz w:val="21"/>
                <w:szCs w:val="21"/>
                <w:highlight w:val="none"/>
                <w:lang w:val="en-US" w:eastAsia="zh-CN"/>
              </w:rPr>
              <w:t>根据投标人提供的补充医疗基金受托及风险管理能力方案进行评审（方案内容包含：</w:t>
            </w:r>
            <w:r>
              <w:rPr>
                <w:rFonts w:hint="eastAsia" w:ascii="宋体" w:hAnsi="宋体" w:eastAsia="宋体" w:cs="宋体"/>
                <w:color w:val="auto"/>
                <w:sz w:val="21"/>
                <w:szCs w:val="21"/>
                <w:highlight w:val="none"/>
                <w:lang w:val="en-US" w:eastAsia="zh-CN"/>
              </w:rPr>
              <w:t>①</w:t>
            </w:r>
            <w:r>
              <w:rPr>
                <w:rFonts w:hint="eastAsia" w:ascii="宋体" w:hAnsi="宋体" w:eastAsia="宋体" w:cs="宋体"/>
                <w:color w:val="auto"/>
                <w:spacing w:val="-11"/>
                <w:sz w:val="21"/>
                <w:szCs w:val="21"/>
                <w:highlight w:val="none"/>
              </w:rPr>
              <w:t>受托管理资金相应风险管控制度与流程</w:t>
            </w:r>
            <w:r>
              <w:rPr>
                <w:rFonts w:hint="eastAsia" w:ascii="宋体" w:hAnsi="宋体" w:eastAsia="宋体" w:cs="宋体"/>
                <w:color w:val="auto"/>
                <w:spacing w:val="-11"/>
                <w:sz w:val="21"/>
                <w:szCs w:val="21"/>
                <w:highlight w:val="none"/>
                <w:lang w:eastAsia="zh-CN"/>
              </w:rPr>
              <w:t>；</w:t>
            </w:r>
            <w:r>
              <w:rPr>
                <w:rFonts w:hint="eastAsia" w:ascii="宋体" w:hAnsi="宋体" w:eastAsia="宋体" w:cs="宋体"/>
                <w:color w:val="auto"/>
                <w:sz w:val="21"/>
                <w:szCs w:val="21"/>
                <w:highlight w:val="none"/>
                <w:lang w:val="en-US" w:eastAsia="zh-CN"/>
              </w:rPr>
              <w:t>②</w:t>
            </w:r>
            <w:r>
              <w:rPr>
                <w:rFonts w:hint="eastAsia" w:ascii="宋体" w:hAnsi="宋体" w:eastAsia="宋体" w:cs="宋体"/>
                <w:color w:val="auto"/>
                <w:spacing w:val="-11"/>
                <w:sz w:val="21"/>
                <w:szCs w:val="21"/>
                <w:highlight w:val="none"/>
              </w:rPr>
              <w:t>风险管</w:t>
            </w:r>
            <w:r>
              <w:rPr>
                <w:rFonts w:hint="eastAsia" w:ascii="宋体" w:hAnsi="宋体" w:eastAsia="宋体" w:cs="宋体"/>
                <w:color w:val="auto"/>
                <w:spacing w:val="-9"/>
                <w:sz w:val="21"/>
                <w:szCs w:val="21"/>
                <w:highlight w:val="none"/>
              </w:rPr>
              <w:t>控组织体系</w:t>
            </w:r>
            <w:r>
              <w:rPr>
                <w:rFonts w:hint="eastAsia" w:ascii="宋体" w:hAnsi="宋体" w:eastAsia="宋体" w:cs="宋体"/>
                <w:color w:val="auto"/>
                <w:spacing w:val="-9"/>
                <w:sz w:val="21"/>
                <w:szCs w:val="21"/>
                <w:highlight w:val="none"/>
                <w:lang w:eastAsia="zh-CN"/>
              </w:rPr>
              <w:t>；</w:t>
            </w:r>
            <w:r>
              <w:rPr>
                <w:rFonts w:hint="eastAsia" w:ascii="宋体" w:hAnsi="宋体" w:eastAsia="宋体" w:cs="宋体"/>
                <w:color w:val="auto"/>
                <w:sz w:val="21"/>
                <w:szCs w:val="21"/>
                <w:highlight w:val="none"/>
                <w:lang w:val="en-US" w:eastAsia="zh-CN"/>
              </w:rPr>
              <w:t>③</w:t>
            </w:r>
            <w:r>
              <w:rPr>
                <w:rFonts w:hint="eastAsia" w:ascii="宋体" w:hAnsi="宋体" w:eastAsia="宋体" w:cs="宋体"/>
                <w:color w:val="auto"/>
                <w:spacing w:val="-9"/>
                <w:sz w:val="21"/>
                <w:szCs w:val="21"/>
                <w:highlight w:val="none"/>
              </w:rPr>
              <w:t>风险</w:t>
            </w:r>
            <w:r>
              <w:rPr>
                <w:rFonts w:hint="eastAsia" w:ascii="宋体" w:hAnsi="宋体" w:eastAsia="宋体" w:cs="宋体"/>
                <w:color w:val="auto"/>
                <w:spacing w:val="-10"/>
                <w:sz w:val="21"/>
                <w:szCs w:val="21"/>
                <w:highlight w:val="none"/>
              </w:rPr>
              <w:t>管控监督</w:t>
            </w:r>
            <w:r>
              <w:rPr>
                <w:rFonts w:hint="eastAsia" w:ascii="宋体" w:hAnsi="宋体" w:eastAsia="宋体" w:cs="宋体"/>
                <w:color w:val="auto"/>
                <w:spacing w:val="1"/>
                <w:sz w:val="21"/>
                <w:szCs w:val="21"/>
                <w:highlight w:val="none"/>
              </w:rPr>
              <w:t>保障机制及配套措施</w:t>
            </w:r>
            <w:r>
              <w:rPr>
                <w:rFonts w:hint="eastAsia" w:ascii="宋体" w:hAnsi="宋体" w:eastAsia="宋体" w:cs="宋体"/>
                <w:color w:val="auto"/>
                <w:spacing w:val="-11"/>
                <w:sz w:val="21"/>
                <w:szCs w:val="21"/>
                <w:highlight w:val="none"/>
                <w:lang w:val="en-US" w:eastAsia="zh-CN"/>
              </w:rPr>
              <w:t>）：</w:t>
            </w:r>
          </w:p>
          <w:p w14:paraId="1BB00428">
            <w:pPr>
              <w:numPr>
                <w:ilvl w:val="0"/>
                <w:numId w:val="1"/>
              </w:numPr>
              <w:spacing w:line="360" w:lineRule="auto"/>
              <w:jc w:val="left"/>
              <w:rPr>
                <w:rFonts w:hint="eastAsia" w:ascii="宋体" w:hAnsi="宋体" w:eastAsia="宋体" w:cs="宋体"/>
                <w:color w:val="auto"/>
                <w:spacing w:val="-11"/>
                <w:sz w:val="21"/>
                <w:szCs w:val="21"/>
                <w:highlight w:val="none"/>
                <w:lang w:val="en-US" w:eastAsia="zh-CN"/>
              </w:rPr>
            </w:pPr>
            <w:r>
              <w:rPr>
                <w:rFonts w:hint="eastAsia" w:ascii="宋体" w:hAnsi="宋体" w:eastAsia="宋体" w:cs="宋体"/>
                <w:color w:val="auto"/>
                <w:spacing w:val="-11"/>
                <w:sz w:val="21"/>
                <w:szCs w:val="21"/>
                <w:highlight w:val="none"/>
                <w:lang w:val="en-US" w:eastAsia="zh-CN"/>
              </w:rPr>
              <w:t>补充医疗基金受托及风险管理能力方案中每提供一项内容得1分，最高得3分。</w:t>
            </w:r>
          </w:p>
          <w:p w14:paraId="688B3FA8">
            <w:pPr>
              <w:numPr>
                <w:ilvl w:val="0"/>
                <w:numId w:val="1"/>
              </w:num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根据各投标人的</w:t>
            </w:r>
            <w:r>
              <w:rPr>
                <w:rFonts w:hint="eastAsia" w:ascii="宋体" w:hAnsi="宋体" w:eastAsia="宋体" w:cs="宋体"/>
                <w:color w:val="auto"/>
                <w:spacing w:val="-11"/>
                <w:sz w:val="21"/>
                <w:szCs w:val="21"/>
                <w:highlight w:val="none"/>
                <w:lang w:val="en-US" w:eastAsia="zh-CN"/>
              </w:rPr>
              <w:t>补充医疗基金受托及风险管理能力</w:t>
            </w:r>
            <w:r>
              <w:rPr>
                <w:rFonts w:hint="eastAsia" w:ascii="宋体" w:hAnsi="宋体" w:eastAsia="宋体" w:cs="宋体"/>
                <w:color w:val="auto"/>
                <w:sz w:val="21"/>
                <w:szCs w:val="21"/>
                <w:highlight w:val="none"/>
              </w:rPr>
              <w:t>方案</w:t>
            </w:r>
            <w:r>
              <w:rPr>
                <w:rFonts w:hint="eastAsia" w:ascii="宋体" w:hAnsi="宋体" w:eastAsia="宋体" w:cs="宋体"/>
                <w:color w:val="auto"/>
                <w:sz w:val="21"/>
                <w:szCs w:val="21"/>
                <w:highlight w:val="none"/>
                <w:lang w:val="en-US" w:eastAsia="zh-CN"/>
              </w:rPr>
              <w:t>具体响应内容进一步评审,评审标准如下：</w:t>
            </w:r>
          </w:p>
          <w:p w14:paraId="4ACF6FBE">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（1）方案详细具体、科学可行，</w:t>
            </w:r>
            <w:r>
              <w:rPr>
                <w:rFonts w:hint="eastAsia" w:ascii="宋体" w:hAnsi="宋体" w:eastAsia="宋体" w:cs="宋体"/>
                <w:i w:val="0"/>
                <w:iCs w:val="0"/>
                <w:caps w:val="0"/>
                <w:color w:val="auto"/>
                <w:spacing w:val="0"/>
                <w:sz w:val="21"/>
                <w:szCs w:val="21"/>
                <w:highlight w:val="none"/>
                <w:shd w:val="clear"/>
              </w:rPr>
              <w:t>制度流程覆盖全风险，逻辑严谨可操作性强；组织架构清晰，人员专业且培训考核完善；监督保障机制健全，</w:t>
            </w:r>
            <w:r>
              <w:rPr>
                <w:rFonts w:hint="eastAsia" w:ascii="宋体" w:hAnsi="宋体" w:eastAsia="宋体" w:cs="宋体"/>
                <w:i w:val="0"/>
                <w:iCs w:val="0"/>
                <w:caps w:val="0"/>
                <w:color w:val="auto"/>
                <w:spacing w:val="0"/>
                <w:sz w:val="21"/>
                <w:szCs w:val="21"/>
                <w:highlight w:val="none"/>
                <w:shd w:val="clear"/>
                <w:lang w:val="en-US" w:eastAsia="zh-CN"/>
              </w:rPr>
              <w:t>有经常性的</w:t>
            </w:r>
            <w:r>
              <w:rPr>
                <w:rFonts w:hint="eastAsia" w:ascii="宋体" w:hAnsi="宋体" w:eastAsia="宋体" w:cs="宋体"/>
                <w:i w:val="0"/>
                <w:iCs w:val="0"/>
                <w:caps w:val="0"/>
                <w:color w:val="auto"/>
                <w:spacing w:val="0"/>
                <w:sz w:val="21"/>
                <w:szCs w:val="21"/>
                <w:highlight w:val="none"/>
                <w:shd w:val="clear"/>
              </w:rPr>
              <w:t>内外部监督</w:t>
            </w:r>
            <w:r>
              <w:rPr>
                <w:rFonts w:hint="eastAsia" w:ascii="宋体" w:hAnsi="宋体" w:eastAsia="宋体" w:cs="宋体"/>
                <w:i w:val="0"/>
                <w:iCs w:val="0"/>
                <w:caps w:val="0"/>
                <w:color w:val="auto"/>
                <w:spacing w:val="0"/>
                <w:sz w:val="21"/>
                <w:szCs w:val="21"/>
                <w:highlight w:val="none"/>
                <w:shd w:val="clear"/>
                <w:lang w:val="en-US" w:eastAsia="zh-CN"/>
              </w:rPr>
              <w:t>机制及配套改进或纠错机制，监督</w:t>
            </w:r>
            <w:r>
              <w:rPr>
                <w:rFonts w:hint="eastAsia" w:ascii="宋体" w:hAnsi="宋体" w:eastAsia="宋体" w:cs="宋体"/>
                <w:i w:val="0"/>
                <w:iCs w:val="0"/>
                <w:caps w:val="0"/>
                <w:color w:val="auto"/>
                <w:spacing w:val="0"/>
                <w:sz w:val="21"/>
                <w:szCs w:val="21"/>
                <w:highlight w:val="none"/>
                <w:shd w:val="clear"/>
              </w:rPr>
              <w:t>有效，各配套措施协同紧密，全方位保障基金风险管理</w:t>
            </w:r>
            <w:r>
              <w:rPr>
                <w:rFonts w:hint="eastAsia" w:ascii="宋体" w:hAnsi="宋体" w:eastAsia="宋体" w:cs="宋体"/>
                <w:color w:val="auto"/>
                <w:sz w:val="21"/>
                <w:szCs w:val="21"/>
                <w:highlight w:val="none"/>
                <w:lang w:val="en-US" w:eastAsia="zh-CN"/>
              </w:rPr>
              <w:t xml:space="preserve">，得7分； </w:t>
            </w:r>
          </w:p>
          <w:p w14:paraId="7FB6701E">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（2）方案基本完整、合理的，制度流程较完整，风险管控基本闭环；组织架构合理，人员满足需求但培训考核稍弱；监督保障机制存在，有一定内外部监督，配套措施协同性尚可，能支撑风险管理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 xml:space="preserve">得4分； </w:t>
            </w:r>
          </w:p>
          <w:p w14:paraId="5E706AA9">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（3）方案不完整、缺乏合理性、可行性的，风险制度多处缺失，流程断裂无闭环；无专职风控岗位，人员无经验，组织架构无管控职能；无监督与应急保障，配套措施空白，无法应对风险，得1分；</w:t>
            </w:r>
          </w:p>
          <w:p w14:paraId="49C2EF68">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注：无提供方案，不得分。</w:t>
            </w:r>
          </w:p>
        </w:tc>
      </w:tr>
      <w:tr w14:paraId="688C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trPr>
        <w:tc>
          <w:tcPr>
            <w:tcW w:w="609" w:type="pct"/>
            <w:vMerge w:val="continue"/>
            <w:vAlign w:val="center"/>
          </w:tcPr>
          <w:p w14:paraId="3139949B">
            <w:pPr>
              <w:spacing w:line="360" w:lineRule="auto"/>
              <w:rPr>
                <w:rFonts w:hint="eastAsia" w:ascii="宋体" w:hAnsi="宋体" w:eastAsia="宋体" w:cs="宋体"/>
                <w:color w:val="auto"/>
                <w:sz w:val="21"/>
                <w:szCs w:val="21"/>
                <w:highlight w:val="none"/>
              </w:rPr>
            </w:pPr>
          </w:p>
        </w:tc>
        <w:tc>
          <w:tcPr>
            <w:tcW w:w="688" w:type="pct"/>
            <w:vMerge w:val="continue"/>
            <w:vAlign w:val="center"/>
          </w:tcPr>
          <w:p w14:paraId="6C3B9044">
            <w:pPr>
              <w:spacing w:line="360" w:lineRule="auto"/>
              <w:jc w:val="center"/>
              <w:rPr>
                <w:rFonts w:hint="eastAsia" w:ascii="宋体" w:hAnsi="宋体" w:eastAsia="宋体" w:cs="宋体"/>
                <w:color w:val="auto"/>
                <w:sz w:val="21"/>
                <w:szCs w:val="21"/>
                <w:highlight w:val="none"/>
              </w:rPr>
            </w:pPr>
          </w:p>
        </w:tc>
        <w:tc>
          <w:tcPr>
            <w:tcW w:w="692" w:type="pct"/>
            <w:vMerge w:val="continue"/>
            <w:vAlign w:val="center"/>
          </w:tcPr>
          <w:p w14:paraId="4C4CC39B">
            <w:pPr>
              <w:spacing w:line="360" w:lineRule="auto"/>
              <w:jc w:val="center"/>
              <w:rPr>
                <w:rFonts w:hint="eastAsia" w:ascii="宋体" w:hAnsi="宋体" w:eastAsia="宋体" w:cs="宋体"/>
                <w:color w:val="auto"/>
                <w:sz w:val="21"/>
                <w:szCs w:val="21"/>
                <w:highlight w:val="none"/>
              </w:rPr>
            </w:pPr>
          </w:p>
        </w:tc>
        <w:tc>
          <w:tcPr>
            <w:tcW w:w="823" w:type="pct"/>
            <w:vAlign w:val="center"/>
          </w:tcPr>
          <w:p w14:paraId="075A8519">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3"/>
                <w:sz w:val="21"/>
                <w:szCs w:val="21"/>
                <w:highlight w:val="none"/>
                <w:lang w:eastAsia="zh-CN"/>
              </w:rPr>
              <w:t>其他</w:t>
            </w:r>
            <w:r>
              <w:rPr>
                <w:rFonts w:hint="eastAsia" w:ascii="宋体" w:hAnsi="宋体" w:eastAsia="宋体" w:cs="宋体"/>
                <w:color w:val="auto"/>
                <w:spacing w:val="3"/>
                <w:sz w:val="21"/>
                <w:szCs w:val="21"/>
                <w:highlight w:val="none"/>
              </w:rPr>
              <w:t>服务方案和</w:t>
            </w:r>
            <w:r>
              <w:rPr>
                <w:rFonts w:hint="eastAsia" w:ascii="宋体" w:hAnsi="宋体" w:eastAsia="宋体" w:cs="宋体"/>
                <w:color w:val="auto"/>
                <w:spacing w:val="2"/>
                <w:sz w:val="21"/>
                <w:szCs w:val="21"/>
                <w:highlight w:val="none"/>
              </w:rPr>
              <w:t>保障措施</w:t>
            </w:r>
          </w:p>
          <w:p w14:paraId="030C23AE">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（满分</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分）</w:t>
            </w:r>
          </w:p>
        </w:tc>
        <w:tc>
          <w:tcPr>
            <w:tcW w:w="2186" w:type="pct"/>
            <w:vAlign w:val="center"/>
          </w:tcPr>
          <w:p w14:paraId="04B00802">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根据各投标人提供的其他</w:t>
            </w:r>
            <w:r>
              <w:rPr>
                <w:rFonts w:hint="eastAsia" w:ascii="宋体" w:hAnsi="宋体" w:eastAsia="宋体" w:cs="宋体"/>
                <w:color w:val="auto"/>
                <w:sz w:val="21"/>
                <w:szCs w:val="21"/>
                <w:highlight w:val="none"/>
              </w:rPr>
              <w:t>服务方案</w:t>
            </w:r>
            <w:r>
              <w:rPr>
                <w:rFonts w:hint="eastAsia" w:ascii="宋体" w:hAnsi="宋体" w:eastAsia="宋体" w:cs="宋体"/>
                <w:color w:val="auto"/>
                <w:sz w:val="21"/>
                <w:szCs w:val="21"/>
                <w:highlight w:val="none"/>
                <w:lang w:eastAsia="zh-CN"/>
              </w:rPr>
              <w:t>和保障措施</w:t>
            </w:r>
            <w:r>
              <w:rPr>
                <w:rFonts w:hint="eastAsia" w:ascii="宋体" w:hAnsi="宋体" w:eastAsia="宋体" w:cs="宋体"/>
                <w:color w:val="auto"/>
                <w:sz w:val="21"/>
                <w:szCs w:val="21"/>
                <w:highlight w:val="none"/>
                <w:lang w:val="en-US" w:eastAsia="zh-CN"/>
              </w:rPr>
              <w:t xml:space="preserve">进行评审（方案内容包含①专业服务机构和团队介绍；②团队成员专业能力和服务能力；③服务方案及配套措施）： </w:t>
            </w:r>
          </w:p>
          <w:p w14:paraId="447042E0">
            <w:pPr>
              <w:numPr>
                <w:ilvl w:val="0"/>
                <w:numId w:val="0"/>
              </w:numPr>
              <w:spacing w:line="360" w:lineRule="auto"/>
              <w:jc w:val="both"/>
              <w:rPr>
                <w:rFonts w:hint="eastAsia" w:ascii="宋体" w:hAnsi="宋体" w:eastAsia="宋体" w:cs="宋体"/>
                <w:color w:val="auto"/>
                <w:spacing w:val="-11"/>
                <w:sz w:val="21"/>
                <w:szCs w:val="21"/>
                <w:highlight w:val="none"/>
                <w:lang w:val="en-US" w:eastAsia="zh-CN"/>
              </w:rPr>
            </w:pPr>
            <w:r>
              <w:rPr>
                <w:rFonts w:hint="eastAsia" w:ascii="宋体" w:hAnsi="宋体" w:eastAsia="宋体" w:cs="宋体"/>
                <w:color w:val="auto"/>
                <w:spacing w:val="-11"/>
                <w:sz w:val="21"/>
                <w:szCs w:val="21"/>
                <w:highlight w:val="none"/>
                <w:lang w:val="en-US" w:eastAsia="zh-CN" w:bidi="ar-SA"/>
              </w:rPr>
              <w:t>1、</w:t>
            </w:r>
            <w:r>
              <w:rPr>
                <w:rFonts w:hint="eastAsia" w:ascii="宋体" w:hAnsi="宋体" w:eastAsia="宋体" w:cs="宋体"/>
                <w:color w:val="auto"/>
                <w:spacing w:val="3"/>
                <w:sz w:val="21"/>
                <w:szCs w:val="21"/>
                <w:highlight w:val="none"/>
                <w:lang w:eastAsia="zh-CN"/>
              </w:rPr>
              <w:t>其他</w:t>
            </w:r>
            <w:r>
              <w:rPr>
                <w:rFonts w:hint="eastAsia" w:ascii="宋体" w:hAnsi="宋体" w:eastAsia="宋体" w:cs="宋体"/>
                <w:color w:val="auto"/>
                <w:spacing w:val="3"/>
                <w:sz w:val="21"/>
                <w:szCs w:val="21"/>
                <w:highlight w:val="none"/>
              </w:rPr>
              <w:t>服务方案和</w:t>
            </w:r>
            <w:r>
              <w:rPr>
                <w:rFonts w:hint="eastAsia" w:ascii="宋体" w:hAnsi="宋体" w:eastAsia="宋体" w:cs="宋体"/>
                <w:color w:val="auto"/>
                <w:spacing w:val="2"/>
                <w:sz w:val="21"/>
                <w:szCs w:val="21"/>
                <w:highlight w:val="none"/>
              </w:rPr>
              <w:t>保障措施</w:t>
            </w:r>
            <w:r>
              <w:rPr>
                <w:rFonts w:hint="eastAsia" w:ascii="宋体" w:hAnsi="宋体" w:eastAsia="宋体" w:cs="宋体"/>
                <w:color w:val="auto"/>
                <w:spacing w:val="-11"/>
                <w:sz w:val="21"/>
                <w:szCs w:val="21"/>
                <w:highlight w:val="none"/>
                <w:lang w:val="en-US" w:eastAsia="zh-CN"/>
              </w:rPr>
              <w:t>每提供其中一项内容得1分，最高得3分。</w:t>
            </w:r>
          </w:p>
          <w:p w14:paraId="66160181">
            <w:pPr>
              <w:numPr>
                <w:ilvl w:val="-1"/>
                <w:numId w:val="0"/>
              </w:numPr>
              <w:spacing w:line="360" w:lineRule="auto"/>
              <w:jc w:val="both"/>
              <w:rPr>
                <w:rFonts w:hint="eastAsia" w:ascii="宋体" w:hAnsi="宋体" w:eastAsia="宋体" w:cs="宋体"/>
                <w:color w:val="auto"/>
                <w:spacing w:val="-11"/>
                <w:sz w:val="21"/>
                <w:szCs w:val="21"/>
                <w:highlight w:val="none"/>
                <w:lang w:val="en-US" w:eastAsia="zh-CN"/>
              </w:rPr>
            </w:pPr>
            <w:r>
              <w:rPr>
                <w:rFonts w:hint="eastAsia" w:ascii="宋体" w:hAnsi="宋体" w:eastAsia="宋体" w:cs="宋体"/>
                <w:color w:val="auto"/>
                <w:spacing w:val="-11"/>
                <w:sz w:val="21"/>
                <w:szCs w:val="21"/>
                <w:highlight w:val="none"/>
                <w:lang w:val="en-US" w:eastAsia="zh-CN"/>
              </w:rPr>
              <w:t>2、根据各投标人的其他服务方案和保障措施具体响应内容进一步评审,评审标准如下：</w:t>
            </w:r>
          </w:p>
          <w:p w14:paraId="1874480F">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pacing w:val="-10"/>
                <w:sz w:val="21"/>
                <w:szCs w:val="21"/>
                <w:highlight w:val="none"/>
              </w:rPr>
              <w:t>在本地区有稳定的专业服务机构和团队，团队成</w:t>
            </w:r>
            <w:r>
              <w:rPr>
                <w:rFonts w:hint="eastAsia" w:ascii="宋体" w:hAnsi="宋体" w:eastAsia="宋体" w:cs="宋体"/>
                <w:color w:val="auto"/>
                <w:spacing w:val="-7"/>
                <w:sz w:val="21"/>
                <w:szCs w:val="21"/>
                <w:highlight w:val="none"/>
              </w:rPr>
              <w:t>员专业能力和服务能力强；有务实规范的服务方案及配套措施</w:t>
            </w:r>
            <w:r>
              <w:rPr>
                <w:rFonts w:hint="eastAsia" w:ascii="宋体" w:hAnsi="宋体" w:eastAsia="宋体" w:cs="宋体"/>
                <w:color w:val="auto"/>
                <w:spacing w:val="-7"/>
                <w:sz w:val="21"/>
                <w:szCs w:val="21"/>
                <w:highlight w:val="none"/>
                <w:lang w:eastAsia="zh-CN"/>
              </w:rPr>
              <w:t>，</w:t>
            </w:r>
            <w:r>
              <w:rPr>
                <w:rFonts w:hint="eastAsia" w:ascii="宋体" w:hAnsi="宋体" w:eastAsia="宋体" w:cs="宋体"/>
                <w:color w:val="auto"/>
                <w:spacing w:val="-7"/>
                <w:sz w:val="21"/>
                <w:szCs w:val="21"/>
                <w:highlight w:val="none"/>
                <w:lang w:val="en-US" w:eastAsia="zh-CN"/>
              </w:rPr>
              <w:t>保障措施明确完善，能确保服务质量</w:t>
            </w:r>
            <w:r>
              <w:rPr>
                <w:rFonts w:hint="eastAsia" w:ascii="宋体" w:hAnsi="宋体" w:eastAsia="宋体" w:cs="宋体"/>
                <w:color w:val="auto"/>
                <w:sz w:val="21"/>
                <w:szCs w:val="21"/>
                <w:highlight w:val="none"/>
                <w:lang w:val="en-US" w:eastAsia="zh-CN"/>
              </w:rPr>
              <w:t xml:space="preserve">，得7分； </w:t>
            </w:r>
          </w:p>
          <w:p w14:paraId="05398E55">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pacing w:val="-10"/>
                <w:sz w:val="21"/>
                <w:szCs w:val="21"/>
                <w:highlight w:val="none"/>
              </w:rPr>
              <w:t>在本地区有相对稳定的专业服务机构和团队，团队成</w:t>
            </w:r>
            <w:r>
              <w:rPr>
                <w:rFonts w:hint="eastAsia" w:ascii="宋体" w:hAnsi="宋体" w:eastAsia="宋体" w:cs="宋体"/>
                <w:color w:val="auto"/>
                <w:spacing w:val="-7"/>
                <w:sz w:val="21"/>
                <w:szCs w:val="21"/>
                <w:highlight w:val="none"/>
              </w:rPr>
              <w:t>员专业能力和服务能力较强；有服务方案及配套措施</w:t>
            </w:r>
            <w:r>
              <w:rPr>
                <w:rFonts w:hint="eastAsia" w:ascii="宋体" w:hAnsi="宋体" w:eastAsia="宋体" w:cs="宋体"/>
                <w:color w:val="auto"/>
                <w:spacing w:val="-7"/>
                <w:sz w:val="21"/>
                <w:szCs w:val="21"/>
                <w:highlight w:val="none"/>
                <w:lang w:eastAsia="zh-CN"/>
              </w:rPr>
              <w:t>，</w:t>
            </w:r>
            <w:r>
              <w:rPr>
                <w:rFonts w:hint="eastAsia" w:ascii="宋体" w:hAnsi="宋体" w:eastAsia="宋体" w:cs="宋体"/>
                <w:color w:val="auto"/>
                <w:spacing w:val="-7"/>
                <w:sz w:val="21"/>
                <w:szCs w:val="21"/>
                <w:highlight w:val="none"/>
                <w:lang w:val="en-US" w:eastAsia="zh-CN"/>
              </w:rPr>
              <w:t>保障措施基本完善，但存在少处的不明确，能基本保障服务质量</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 xml:space="preserve">得4分； </w:t>
            </w:r>
          </w:p>
          <w:p w14:paraId="6C6BF8FB">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pacing w:val="-10"/>
                <w:sz w:val="21"/>
                <w:szCs w:val="21"/>
                <w:highlight w:val="none"/>
              </w:rPr>
              <w:t>在本地区</w:t>
            </w:r>
            <w:r>
              <w:rPr>
                <w:rFonts w:hint="eastAsia" w:ascii="宋体" w:hAnsi="宋体" w:eastAsia="宋体" w:cs="宋体"/>
                <w:color w:val="auto"/>
                <w:spacing w:val="-10"/>
                <w:sz w:val="21"/>
                <w:szCs w:val="21"/>
                <w:highlight w:val="none"/>
                <w:lang w:val="en-US" w:eastAsia="zh-CN"/>
              </w:rPr>
              <w:t>没有稳定的</w:t>
            </w:r>
            <w:r>
              <w:rPr>
                <w:rFonts w:hint="eastAsia" w:ascii="宋体" w:hAnsi="宋体" w:eastAsia="宋体" w:cs="宋体"/>
                <w:color w:val="auto"/>
                <w:spacing w:val="-10"/>
                <w:sz w:val="21"/>
                <w:szCs w:val="21"/>
                <w:highlight w:val="none"/>
              </w:rPr>
              <w:t>专业服务机构和团队，团队成</w:t>
            </w:r>
            <w:r>
              <w:rPr>
                <w:rFonts w:hint="eastAsia" w:ascii="宋体" w:hAnsi="宋体" w:eastAsia="宋体" w:cs="宋体"/>
                <w:color w:val="auto"/>
                <w:spacing w:val="-7"/>
                <w:sz w:val="21"/>
                <w:szCs w:val="21"/>
                <w:highlight w:val="none"/>
              </w:rPr>
              <w:t>员专业能力和服务能力</w:t>
            </w:r>
            <w:r>
              <w:rPr>
                <w:rFonts w:hint="eastAsia" w:ascii="宋体" w:hAnsi="宋体" w:eastAsia="宋体" w:cs="宋体"/>
                <w:color w:val="auto"/>
                <w:spacing w:val="-7"/>
                <w:sz w:val="21"/>
                <w:szCs w:val="21"/>
                <w:highlight w:val="none"/>
                <w:lang w:val="en-US" w:eastAsia="zh-CN"/>
              </w:rPr>
              <w:t>一般</w:t>
            </w:r>
            <w:r>
              <w:rPr>
                <w:rFonts w:hint="eastAsia" w:ascii="宋体" w:hAnsi="宋体" w:eastAsia="宋体" w:cs="宋体"/>
                <w:color w:val="auto"/>
                <w:spacing w:val="-7"/>
                <w:sz w:val="21"/>
                <w:szCs w:val="21"/>
                <w:highlight w:val="none"/>
              </w:rPr>
              <w:t>；服务方案及配套措施</w:t>
            </w:r>
            <w:r>
              <w:rPr>
                <w:rFonts w:hint="eastAsia" w:ascii="宋体" w:hAnsi="宋体" w:eastAsia="宋体" w:cs="宋体"/>
                <w:color w:val="auto"/>
                <w:spacing w:val="-7"/>
                <w:sz w:val="21"/>
                <w:szCs w:val="21"/>
                <w:highlight w:val="none"/>
                <w:lang w:val="en-US" w:eastAsia="zh-CN"/>
              </w:rPr>
              <w:t>简单</w:t>
            </w:r>
            <w:r>
              <w:rPr>
                <w:rFonts w:hint="eastAsia" w:ascii="宋体" w:hAnsi="宋体" w:eastAsia="宋体" w:cs="宋体"/>
                <w:color w:val="auto"/>
                <w:spacing w:val="-7"/>
                <w:sz w:val="21"/>
                <w:szCs w:val="21"/>
                <w:highlight w:val="none"/>
                <w:lang w:eastAsia="zh-CN"/>
              </w:rPr>
              <w:t>，</w:t>
            </w:r>
            <w:r>
              <w:rPr>
                <w:rFonts w:hint="eastAsia" w:ascii="宋体" w:hAnsi="宋体" w:eastAsia="宋体" w:cs="宋体"/>
                <w:color w:val="auto"/>
                <w:spacing w:val="-7"/>
                <w:sz w:val="21"/>
                <w:szCs w:val="21"/>
                <w:highlight w:val="none"/>
                <w:lang w:val="en-US" w:eastAsia="zh-CN"/>
              </w:rPr>
              <w:t>保障措施不完善，不能保障服务质量</w:t>
            </w:r>
            <w:r>
              <w:rPr>
                <w:rFonts w:hint="eastAsia" w:ascii="宋体" w:hAnsi="宋体" w:eastAsia="宋体" w:cs="宋体"/>
                <w:color w:val="auto"/>
                <w:sz w:val="21"/>
                <w:szCs w:val="21"/>
                <w:highlight w:val="none"/>
                <w:lang w:val="en-US" w:eastAsia="zh-CN"/>
              </w:rPr>
              <w:t xml:space="preserve">，得1分； </w:t>
            </w:r>
          </w:p>
          <w:p w14:paraId="7AF9CDCF">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注：无提供方案，不得分。</w:t>
            </w:r>
          </w:p>
        </w:tc>
      </w:tr>
      <w:tr w14:paraId="5C1A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09" w:type="pct"/>
            <w:vMerge w:val="continue"/>
            <w:vAlign w:val="center"/>
          </w:tcPr>
          <w:p w14:paraId="59B20FE8">
            <w:pPr>
              <w:spacing w:line="360" w:lineRule="auto"/>
              <w:rPr>
                <w:rFonts w:hint="eastAsia" w:ascii="宋体" w:hAnsi="宋体" w:eastAsia="宋体" w:cs="宋体"/>
                <w:color w:val="auto"/>
                <w:sz w:val="21"/>
                <w:szCs w:val="21"/>
                <w:highlight w:val="none"/>
              </w:rPr>
            </w:pPr>
          </w:p>
        </w:tc>
        <w:tc>
          <w:tcPr>
            <w:tcW w:w="688" w:type="pct"/>
            <w:vMerge w:val="continue"/>
            <w:vAlign w:val="center"/>
          </w:tcPr>
          <w:p w14:paraId="40948858">
            <w:pPr>
              <w:spacing w:line="360" w:lineRule="auto"/>
              <w:jc w:val="center"/>
              <w:rPr>
                <w:rFonts w:hint="eastAsia" w:ascii="宋体" w:hAnsi="宋体" w:eastAsia="宋体" w:cs="宋体"/>
                <w:color w:val="auto"/>
                <w:sz w:val="21"/>
                <w:szCs w:val="21"/>
                <w:highlight w:val="none"/>
              </w:rPr>
            </w:pPr>
          </w:p>
        </w:tc>
        <w:tc>
          <w:tcPr>
            <w:tcW w:w="692" w:type="pct"/>
            <w:vMerge w:val="restart"/>
            <w:vAlign w:val="center"/>
          </w:tcPr>
          <w:p w14:paraId="14F2C379">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商务</w:t>
            </w:r>
            <w:r>
              <w:rPr>
                <w:rFonts w:hint="eastAsia" w:ascii="宋体" w:hAnsi="宋体" w:eastAsia="宋体" w:cs="宋体"/>
                <w:color w:val="auto"/>
                <w:sz w:val="21"/>
                <w:szCs w:val="21"/>
                <w:highlight w:val="none"/>
              </w:rPr>
              <w:t>能力</w:t>
            </w:r>
          </w:p>
          <w:p w14:paraId="70A257C3">
            <w:pPr>
              <w:pStyle w:val="2"/>
              <w:spacing w:line="360" w:lineRule="auto"/>
              <w:ind w:firstLine="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823" w:type="pct"/>
            <w:vAlign w:val="center"/>
          </w:tcPr>
          <w:p w14:paraId="1F478FD3">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类似业绩</w:t>
            </w:r>
          </w:p>
          <w:p w14:paraId="32C0707C">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（满分</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分）</w:t>
            </w:r>
          </w:p>
        </w:tc>
        <w:tc>
          <w:tcPr>
            <w:tcW w:w="2186" w:type="pct"/>
            <w:vAlign w:val="center"/>
          </w:tcPr>
          <w:p w14:paraId="204E5D26">
            <w:pPr>
              <w:adjustRightInd w:val="0"/>
              <w:spacing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bidi="ar-SA"/>
              </w:rPr>
              <w:t>自2022年1月1日起，至少承揽过1个合同金额大于150万元的员工医疗保险项目，每个得2分，最多得10分。</w:t>
            </w:r>
          </w:p>
          <w:p w14:paraId="6A9B2FDF">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应附合同封面页(含有签约双方信息的封面页)、工作内容页(与</w:t>
            </w:r>
            <w:r>
              <w:rPr>
                <w:rFonts w:hint="eastAsia" w:ascii="宋体" w:hAnsi="宋体" w:eastAsia="宋体" w:cs="宋体"/>
                <w:color w:val="auto"/>
                <w:sz w:val="21"/>
                <w:szCs w:val="21"/>
                <w:highlight w:val="none"/>
                <w:lang w:val="en-US" w:eastAsia="zh-CN" w:bidi="ar-SA"/>
              </w:rPr>
              <w:t>补充医疗</w:t>
            </w:r>
            <w:r>
              <w:rPr>
                <w:rFonts w:hint="eastAsia" w:ascii="宋体" w:hAnsi="宋体" w:eastAsia="宋体" w:cs="宋体"/>
                <w:color w:val="auto"/>
                <w:sz w:val="21"/>
                <w:szCs w:val="21"/>
                <w:highlight w:val="none"/>
              </w:rPr>
              <w:t>业务有关)、合同金额页、签订时间页、合同签字盖章页复印件或扫描件（加盖单位公章）</w:t>
            </w:r>
          </w:p>
          <w:p w14:paraId="55608666">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有效的承保业绩需满足以下①至⑤所有条件，否则视为无效承保业绩。</w:t>
            </w:r>
          </w:p>
          <w:p w14:paraId="3F876BFD">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①如投标人为分支机构，可提供自身（含下属分支公司）或所属总公司的业绩，但不应提供非下属（或其他）分支机构的业绩。</w:t>
            </w:r>
          </w:p>
          <w:p w14:paraId="37C7B567">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②业绩时间以投保单生效时间或合同签订时间为准，即投保单生效时间或合同签订须在202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年1月1日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含</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之后。当投保单生效时间与合同签订时间不一致时，以时间靠后的为准。</w:t>
            </w:r>
          </w:p>
          <w:p w14:paraId="70580B6C">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③同一单位投保的多份保险仅视为一项承保业绩计算。</w:t>
            </w:r>
          </w:p>
          <w:p w14:paraId="1EB3F5BB">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④若合同或投保单无法反</w:t>
            </w:r>
            <w:r>
              <w:rPr>
                <w:rFonts w:hint="eastAsia" w:ascii="宋体" w:hAnsi="宋体" w:eastAsia="宋体" w:cs="宋体"/>
                <w:color w:val="auto"/>
                <w:sz w:val="21"/>
                <w:szCs w:val="21"/>
                <w:highlight w:val="none"/>
                <w:lang w:val="en-US" w:eastAsia="zh-CN"/>
              </w:rPr>
              <w:t>映</w:t>
            </w:r>
            <w:r>
              <w:rPr>
                <w:rFonts w:hint="eastAsia" w:ascii="宋体" w:hAnsi="宋体" w:eastAsia="宋体" w:cs="宋体"/>
                <w:color w:val="auto"/>
                <w:sz w:val="21"/>
                <w:szCs w:val="21"/>
                <w:highlight w:val="none"/>
              </w:rPr>
              <w:t>评审标准要求的各项指标，还应提供反</w:t>
            </w:r>
            <w:r>
              <w:rPr>
                <w:rFonts w:hint="eastAsia" w:ascii="宋体" w:hAnsi="宋体" w:eastAsia="宋体" w:cs="宋体"/>
                <w:color w:val="auto"/>
                <w:sz w:val="21"/>
                <w:szCs w:val="21"/>
                <w:highlight w:val="none"/>
                <w:lang w:val="en-US" w:eastAsia="zh-CN"/>
              </w:rPr>
              <w:t>映</w:t>
            </w:r>
            <w:r>
              <w:rPr>
                <w:rFonts w:hint="eastAsia" w:ascii="宋体" w:hAnsi="宋体" w:eastAsia="宋体" w:cs="宋体"/>
                <w:color w:val="auto"/>
                <w:sz w:val="21"/>
                <w:szCs w:val="21"/>
                <w:highlight w:val="none"/>
              </w:rPr>
              <w:t>相关指标的业主盖章证明材料。</w:t>
            </w:r>
          </w:p>
          <w:p w14:paraId="4A33127B">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⑤须提供投保单或加盖投保人公章的合同扫描件。</w:t>
            </w:r>
          </w:p>
        </w:tc>
      </w:tr>
      <w:tr w14:paraId="12F15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9" w:type="pct"/>
            <w:vMerge w:val="continue"/>
            <w:vAlign w:val="center"/>
          </w:tcPr>
          <w:p w14:paraId="3E286ED5">
            <w:pPr>
              <w:spacing w:line="360" w:lineRule="auto"/>
              <w:rPr>
                <w:rFonts w:hint="eastAsia" w:ascii="宋体" w:hAnsi="宋体" w:eastAsia="宋体" w:cs="宋体"/>
                <w:color w:val="auto"/>
                <w:sz w:val="21"/>
                <w:szCs w:val="21"/>
                <w:highlight w:val="none"/>
              </w:rPr>
            </w:pPr>
          </w:p>
        </w:tc>
        <w:tc>
          <w:tcPr>
            <w:tcW w:w="688" w:type="pct"/>
            <w:vMerge w:val="continue"/>
            <w:vAlign w:val="center"/>
          </w:tcPr>
          <w:p w14:paraId="0D388030">
            <w:pPr>
              <w:spacing w:line="360" w:lineRule="auto"/>
              <w:jc w:val="center"/>
              <w:rPr>
                <w:rFonts w:hint="eastAsia" w:ascii="宋体" w:hAnsi="宋体" w:eastAsia="宋体" w:cs="宋体"/>
                <w:color w:val="auto"/>
                <w:sz w:val="21"/>
                <w:szCs w:val="21"/>
                <w:highlight w:val="none"/>
              </w:rPr>
            </w:pPr>
          </w:p>
        </w:tc>
        <w:tc>
          <w:tcPr>
            <w:tcW w:w="692" w:type="pct"/>
            <w:vMerge w:val="continue"/>
            <w:vAlign w:val="center"/>
          </w:tcPr>
          <w:p w14:paraId="55FFE2EE">
            <w:pPr>
              <w:pStyle w:val="2"/>
              <w:spacing w:line="360" w:lineRule="auto"/>
              <w:ind w:firstLine="0"/>
              <w:jc w:val="center"/>
              <w:rPr>
                <w:rFonts w:hint="eastAsia" w:ascii="宋体" w:hAnsi="宋体" w:eastAsia="宋体" w:cs="宋体"/>
                <w:color w:val="auto"/>
                <w:sz w:val="21"/>
                <w:szCs w:val="21"/>
                <w:highlight w:val="none"/>
              </w:rPr>
            </w:pPr>
          </w:p>
        </w:tc>
        <w:tc>
          <w:tcPr>
            <w:tcW w:w="823" w:type="pct"/>
            <w:vAlign w:val="center"/>
          </w:tcPr>
          <w:p w14:paraId="7C63A4C9">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综合偿付能力充足率</w:t>
            </w:r>
          </w:p>
          <w:p w14:paraId="44327A56">
            <w:pPr>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（满分</w:t>
            </w:r>
            <w:r>
              <w:rPr>
                <w:rFonts w:hint="eastAsia" w:ascii="宋体" w:hAnsi="宋体" w:eastAsia="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rPr>
              <w:t>分）</w:t>
            </w:r>
          </w:p>
        </w:tc>
        <w:tc>
          <w:tcPr>
            <w:tcW w:w="2186" w:type="pct"/>
            <w:vAlign w:val="center"/>
          </w:tcPr>
          <w:p w14:paraId="6BEB4198">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根据供应商2024年四个季度综合偿付能力充足率平均值进行评分。 </w:t>
            </w:r>
          </w:p>
          <w:p w14:paraId="64D8E528">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1、综合偿付能力充足率平均值200%（不含）以上的，得10分； </w:t>
            </w:r>
          </w:p>
          <w:p w14:paraId="2FA3AFE9">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2、综合偿付能力充足率平均值150%（含）-200%（含）的,得7分； </w:t>
            </w:r>
          </w:p>
          <w:p w14:paraId="11D67296">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3、综合偿付能力充足率平均值120%（含）-150%（不含）得4分；</w:t>
            </w:r>
          </w:p>
          <w:p w14:paraId="3E9EE843">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4、综合偿付能力充足率平均值100%（含）-120%（不含）得1分；</w:t>
            </w:r>
          </w:p>
          <w:p w14:paraId="3421945D">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5、综合偿付能力充足率平均值低于100%（不含）不得分；</w:t>
            </w:r>
          </w:p>
          <w:p w14:paraId="05106B66">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注：1、提供经审计的2024年度偿付能力报告或政府监管部门公布的2024年度数据情况等证明材料复印件，无提供不得分。 </w:t>
            </w:r>
          </w:p>
          <w:p w14:paraId="306EF2D6">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2、如因成立时间不满足时间要求且办理所需要合理时间不足导致未能获得证明的，供应商提供说明文件明确以上事项，说明合理且属实的，可对应得分。</w:t>
            </w:r>
          </w:p>
        </w:tc>
      </w:tr>
      <w:tr w14:paraId="74A3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609" w:type="pct"/>
            <w:vMerge w:val="continue"/>
          </w:tcPr>
          <w:p w14:paraId="4E789BBD">
            <w:pPr>
              <w:spacing w:line="360" w:lineRule="auto"/>
              <w:jc w:val="center"/>
              <w:rPr>
                <w:rFonts w:hint="eastAsia" w:ascii="宋体" w:hAnsi="宋体" w:eastAsia="宋体" w:cs="宋体"/>
                <w:color w:val="auto"/>
                <w:sz w:val="21"/>
                <w:szCs w:val="21"/>
                <w:highlight w:val="none"/>
              </w:rPr>
            </w:pPr>
          </w:p>
        </w:tc>
        <w:tc>
          <w:tcPr>
            <w:tcW w:w="688" w:type="pct"/>
            <w:vMerge w:val="continue"/>
          </w:tcPr>
          <w:p w14:paraId="6468A627">
            <w:pPr>
              <w:spacing w:line="360" w:lineRule="auto"/>
              <w:jc w:val="center"/>
              <w:rPr>
                <w:rFonts w:hint="eastAsia" w:ascii="宋体" w:hAnsi="宋体" w:eastAsia="宋体" w:cs="宋体"/>
                <w:color w:val="auto"/>
                <w:sz w:val="21"/>
                <w:szCs w:val="21"/>
                <w:highlight w:val="none"/>
              </w:rPr>
            </w:pPr>
          </w:p>
        </w:tc>
        <w:tc>
          <w:tcPr>
            <w:tcW w:w="692" w:type="pct"/>
            <w:vMerge w:val="restart"/>
            <w:vAlign w:val="center"/>
          </w:tcPr>
          <w:p w14:paraId="6F6F0709">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w:t>
            </w:r>
          </w:p>
          <w:p w14:paraId="511E084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rPr>
              <w:t>）</w:t>
            </w:r>
          </w:p>
        </w:tc>
        <w:tc>
          <w:tcPr>
            <w:tcW w:w="823" w:type="pct"/>
            <w:vAlign w:val="center"/>
          </w:tcPr>
          <w:p w14:paraId="74FDA7E0">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一年期杠杆型保障单价报价</w:t>
            </w:r>
            <w:r>
              <w:rPr>
                <w:rFonts w:hint="eastAsia" w:ascii="宋体" w:hAnsi="宋体" w:eastAsia="宋体" w:cs="宋体"/>
                <w:color w:val="auto"/>
                <w:sz w:val="21"/>
                <w:szCs w:val="21"/>
                <w:highlight w:val="none"/>
                <w:lang w:val="en-US" w:eastAsia="zh-CN"/>
              </w:rPr>
              <w:t>(满分30分)</w:t>
            </w:r>
          </w:p>
        </w:tc>
        <w:tc>
          <w:tcPr>
            <w:tcW w:w="2186" w:type="pct"/>
            <w:vAlign w:val="center"/>
          </w:tcPr>
          <w:p w14:paraId="4C0CB038">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一年期杠杆型保障单价</w:t>
            </w:r>
            <w:r>
              <w:rPr>
                <w:rFonts w:hint="eastAsia" w:ascii="宋体" w:hAnsi="宋体" w:eastAsia="宋体" w:cs="宋体"/>
                <w:color w:val="auto"/>
                <w:sz w:val="21"/>
                <w:szCs w:val="21"/>
                <w:highlight w:val="none"/>
                <w:lang w:val="en-US" w:eastAsia="zh-CN"/>
              </w:rPr>
              <w:t>评标价得分计算公式：</w:t>
            </w:r>
          </w:p>
          <w:p w14:paraId="64477A4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(1)如果投标人的评标价&gt;评标基准价，则评标价得分＝30－偏差率×100×1；</w:t>
            </w:r>
          </w:p>
          <w:p w14:paraId="01A20F3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(2)如果投标人的评标价≤评标基准价，则评标价得分＝30＋偏差率×100×0.5。</w:t>
            </w:r>
          </w:p>
          <w:p w14:paraId="3DFF3BDF">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注：评标价得分四舍五入至小数点后四位。</w:t>
            </w:r>
          </w:p>
        </w:tc>
      </w:tr>
      <w:tr w14:paraId="1E15B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6" w:hRule="atLeast"/>
        </w:trPr>
        <w:tc>
          <w:tcPr>
            <w:tcW w:w="609" w:type="pct"/>
            <w:vMerge w:val="continue"/>
          </w:tcPr>
          <w:p w14:paraId="6DF67F63">
            <w:pPr>
              <w:spacing w:line="360" w:lineRule="auto"/>
              <w:jc w:val="center"/>
              <w:rPr>
                <w:rFonts w:hint="eastAsia" w:ascii="宋体" w:hAnsi="宋体" w:eastAsia="宋体" w:cs="宋体"/>
                <w:color w:val="auto"/>
                <w:sz w:val="21"/>
                <w:szCs w:val="21"/>
                <w:highlight w:val="none"/>
              </w:rPr>
            </w:pPr>
          </w:p>
        </w:tc>
        <w:tc>
          <w:tcPr>
            <w:tcW w:w="688" w:type="pct"/>
            <w:vMerge w:val="continue"/>
          </w:tcPr>
          <w:p w14:paraId="40163BC4">
            <w:pPr>
              <w:spacing w:line="360" w:lineRule="auto"/>
              <w:jc w:val="center"/>
              <w:rPr>
                <w:rFonts w:hint="eastAsia" w:ascii="宋体" w:hAnsi="宋体" w:eastAsia="宋体" w:cs="宋体"/>
                <w:color w:val="auto"/>
                <w:sz w:val="21"/>
                <w:szCs w:val="21"/>
                <w:highlight w:val="none"/>
              </w:rPr>
            </w:pPr>
          </w:p>
        </w:tc>
        <w:tc>
          <w:tcPr>
            <w:tcW w:w="692" w:type="pct"/>
            <w:vMerge w:val="continue"/>
            <w:vAlign w:val="center"/>
          </w:tcPr>
          <w:p w14:paraId="4D682E4A">
            <w:pPr>
              <w:spacing w:line="360" w:lineRule="auto"/>
              <w:jc w:val="center"/>
              <w:rPr>
                <w:rFonts w:hint="eastAsia" w:ascii="宋体" w:hAnsi="宋体" w:eastAsia="宋体" w:cs="宋体"/>
                <w:color w:val="auto"/>
                <w:sz w:val="21"/>
                <w:szCs w:val="21"/>
                <w:highlight w:val="none"/>
              </w:rPr>
            </w:pPr>
          </w:p>
        </w:tc>
        <w:tc>
          <w:tcPr>
            <w:tcW w:w="823" w:type="pct"/>
            <w:vAlign w:val="center"/>
          </w:tcPr>
          <w:p w14:paraId="75590B61">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补充医疗基金管理费收取比例报价</w:t>
            </w:r>
          </w:p>
          <w:p w14:paraId="1DA57B2B">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(满分20分)</w:t>
            </w:r>
          </w:p>
        </w:tc>
        <w:tc>
          <w:tcPr>
            <w:tcW w:w="2186" w:type="pct"/>
            <w:vAlign w:val="center"/>
          </w:tcPr>
          <w:p w14:paraId="6CD7F67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补充医疗基金管理费收取比例评标价得分计算公式：</w:t>
            </w:r>
          </w:p>
          <w:p w14:paraId="19A129C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(1)如果投标人的评标价&gt;评标基准价，则评标价得分＝20－偏差率×100×1；</w:t>
            </w:r>
          </w:p>
          <w:p w14:paraId="3501C78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(2)如果投标人的评标价≤评标基准价，则评标价得分＝20＋偏差率×100×0.5。</w:t>
            </w:r>
          </w:p>
          <w:p w14:paraId="24A52A3C">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注：评标价得分四舍五入至小数点后四位。</w:t>
            </w:r>
          </w:p>
        </w:tc>
      </w:tr>
      <w:tr w14:paraId="0901A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09" w:type="pct"/>
            <w:vMerge w:val="continue"/>
          </w:tcPr>
          <w:p w14:paraId="2CBB1DB3">
            <w:pPr>
              <w:spacing w:line="360" w:lineRule="auto"/>
              <w:jc w:val="center"/>
              <w:rPr>
                <w:rFonts w:hint="eastAsia" w:ascii="宋体" w:hAnsi="宋体" w:eastAsia="宋体" w:cs="宋体"/>
                <w:color w:val="auto"/>
                <w:sz w:val="21"/>
                <w:szCs w:val="21"/>
                <w:highlight w:val="none"/>
              </w:rPr>
            </w:pPr>
          </w:p>
        </w:tc>
        <w:tc>
          <w:tcPr>
            <w:tcW w:w="688" w:type="pct"/>
            <w:vMerge w:val="continue"/>
          </w:tcPr>
          <w:p w14:paraId="3C1A2B53">
            <w:pPr>
              <w:spacing w:line="360" w:lineRule="auto"/>
              <w:jc w:val="center"/>
              <w:rPr>
                <w:rFonts w:hint="eastAsia" w:ascii="宋体" w:hAnsi="宋体" w:eastAsia="宋体" w:cs="宋体"/>
                <w:color w:val="auto"/>
                <w:sz w:val="21"/>
                <w:szCs w:val="21"/>
                <w:highlight w:val="none"/>
              </w:rPr>
            </w:pPr>
          </w:p>
        </w:tc>
        <w:tc>
          <w:tcPr>
            <w:tcW w:w="692" w:type="pct"/>
            <w:vAlign w:val="center"/>
          </w:tcPr>
          <w:p w14:paraId="13650B15">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总分100分</w:t>
            </w:r>
          </w:p>
        </w:tc>
        <w:tc>
          <w:tcPr>
            <w:tcW w:w="3010" w:type="pct"/>
            <w:gridSpan w:val="2"/>
            <w:vAlign w:val="center"/>
          </w:tcPr>
          <w:p w14:paraId="3EC2F1BB">
            <w:pPr>
              <w:spacing w:line="360" w:lineRule="auto"/>
              <w:rPr>
                <w:rFonts w:hint="eastAsia" w:ascii="宋体" w:hAnsi="宋体" w:eastAsia="宋体" w:cs="宋体"/>
                <w:color w:val="auto"/>
                <w:sz w:val="21"/>
                <w:szCs w:val="21"/>
                <w:highlight w:val="none"/>
              </w:rPr>
            </w:pPr>
          </w:p>
        </w:tc>
      </w:tr>
      <w:tr w14:paraId="22D5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09" w:type="pct"/>
            <w:vAlign w:val="center"/>
          </w:tcPr>
          <w:p w14:paraId="1D5B8A0A">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w:t>
            </w:r>
          </w:p>
        </w:tc>
        <w:tc>
          <w:tcPr>
            <w:tcW w:w="688" w:type="pct"/>
            <w:vAlign w:val="center"/>
          </w:tcPr>
          <w:p w14:paraId="44ED0852">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评标结果</w:t>
            </w:r>
          </w:p>
        </w:tc>
        <w:tc>
          <w:tcPr>
            <w:tcW w:w="3702" w:type="pct"/>
            <w:gridSpan w:val="3"/>
            <w:vAlign w:val="center"/>
          </w:tcPr>
          <w:p w14:paraId="73138496">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推荐中标候选人3名</w:t>
            </w:r>
          </w:p>
        </w:tc>
      </w:tr>
      <w:tr w14:paraId="2993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0" w:hRule="atLeast"/>
        </w:trPr>
        <w:tc>
          <w:tcPr>
            <w:tcW w:w="609" w:type="pct"/>
            <w:vAlign w:val="center"/>
          </w:tcPr>
          <w:p w14:paraId="475BA039">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2.10</w:t>
            </w:r>
          </w:p>
        </w:tc>
        <w:tc>
          <w:tcPr>
            <w:tcW w:w="688" w:type="pct"/>
          </w:tcPr>
          <w:p w14:paraId="7E2EE3DD">
            <w:pPr>
              <w:spacing w:line="360" w:lineRule="auto"/>
              <w:jc w:val="center"/>
              <w:rPr>
                <w:rFonts w:hint="eastAsia" w:ascii="宋体" w:hAnsi="宋体" w:eastAsia="宋体" w:cs="宋体"/>
                <w:color w:val="auto"/>
                <w:sz w:val="21"/>
                <w:szCs w:val="21"/>
                <w:highlight w:val="none"/>
              </w:rPr>
            </w:pPr>
          </w:p>
        </w:tc>
        <w:tc>
          <w:tcPr>
            <w:tcW w:w="3702" w:type="pct"/>
            <w:gridSpan w:val="3"/>
            <w:vAlign w:val="center"/>
          </w:tcPr>
          <w:p w14:paraId="1C6D4B58">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1通过第一个信封商务及技术文件评审的投标人少于3个的，评标委员会可以否决全部投标；未否决全部投标的，评标委员会应当在评标报告中阐明理由，招标人应当按照招标文件规定的程序进行第二个信封报价文件开标，但评标委员会在进行报价文件评审时仍有权否决全部投标；评标委员会未在报价文件评审时否决全部投标的，应当在评标报告中阐明理由并推荐中标候选人。</w:t>
            </w:r>
          </w:p>
          <w:p w14:paraId="01CA1E2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2通过第一个信封商务及技术文件评审的投标人在3个及以上的，招标人应当按照招标文件规定的程序进行第二个信封报价文件开标；在对报价文件进行评审后，有效投标不足3个的，评标委员会可以否决全部投标。未否决全部投标的，评标委员会应当在评标报告中阐明理由并推荐中标候选人。</w:t>
            </w:r>
          </w:p>
          <w:p w14:paraId="17FE0D1B">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.3如果发生无法确定推荐中标候选人的其他意外情况，评标委员会可建议招标人重新招标。</w:t>
            </w:r>
          </w:p>
        </w:tc>
      </w:tr>
    </w:tbl>
    <w:p w14:paraId="25285BCF">
      <w:pPr>
        <w:spacing w:line="360" w:lineRule="auto"/>
        <w:rPr>
          <w:rFonts w:hint="eastAsia" w:ascii="宋体" w:hAnsi="宋体" w:eastAsia="宋体" w:cs="宋体"/>
          <w:b/>
          <w:bCs/>
          <w:caps/>
          <w:vanish/>
          <w:color w:val="auto"/>
          <w:sz w:val="21"/>
          <w:szCs w:val="21"/>
          <w:highlight w:val="none"/>
        </w:rPr>
      </w:pPr>
    </w:p>
    <w:p w14:paraId="1114C257">
      <w:pPr>
        <w:keepNext w:val="0"/>
        <w:keepLines w:val="0"/>
        <w:pageBreakBefore w:val="0"/>
        <w:widowControl w:val="0"/>
        <w:kinsoku/>
        <w:wordWrap/>
        <w:overflowPunct/>
        <w:topLinePunct w:val="0"/>
        <w:autoSpaceDE w:val="0"/>
        <w:autoSpaceDN w:val="0"/>
        <w:bidi w:val="0"/>
        <w:adjustRightInd w:val="0"/>
        <w:spacing w:line="360" w:lineRule="auto"/>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7D6ED04D">
      <w:pPr>
        <w:keepNext w:val="0"/>
        <w:keepLines w:val="0"/>
        <w:pageBreakBefore w:val="0"/>
        <w:widowControl w:val="0"/>
        <w:kinsoku/>
        <w:wordWrap/>
        <w:overflowPunct/>
        <w:topLinePunct w:val="0"/>
        <w:autoSpaceDE w:val="0"/>
        <w:autoSpaceDN w:val="0"/>
        <w:bidi w:val="0"/>
        <w:adjustRightInd w:val="0"/>
        <w:spacing w:line="360" w:lineRule="auto"/>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  评标方法及评标实施组织</w:t>
      </w:r>
    </w:p>
    <w:p w14:paraId="096B0263">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1.1</w:t>
      </w:r>
      <w:r>
        <w:rPr>
          <w:rFonts w:hint="eastAsia" w:ascii="宋体" w:hAnsi="宋体" w:eastAsia="宋体" w:cs="宋体"/>
          <w:b/>
          <w:color w:val="auto"/>
          <w:sz w:val="21"/>
          <w:szCs w:val="21"/>
          <w:highlight w:val="none"/>
        </w:rPr>
        <w:t>评标方法</w:t>
      </w:r>
    </w:p>
    <w:p w14:paraId="3A659A33">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本次评标采用</w:t>
      </w:r>
      <w:r>
        <w:rPr>
          <w:rFonts w:hint="eastAsia" w:ascii="宋体" w:hAnsi="宋体" w:eastAsia="宋体" w:cs="宋体"/>
          <w:color w:val="auto"/>
          <w:sz w:val="21"/>
          <w:szCs w:val="21"/>
          <w:highlight w:val="none"/>
          <w:lang w:eastAsia="zh-CN"/>
        </w:rPr>
        <w:t>双信封的</w:t>
      </w:r>
      <w:r>
        <w:rPr>
          <w:rFonts w:hint="eastAsia" w:ascii="宋体" w:hAnsi="宋体" w:eastAsia="宋体" w:cs="宋体"/>
          <w:color w:val="auto"/>
          <w:sz w:val="21"/>
          <w:szCs w:val="21"/>
          <w:highlight w:val="none"/>
        </w:rPr>
        <w:t>综合评估法。评标委员会对满足招标文件实质性要求的投标文件，按照本章第2条规定的评分标准进行打分，并按得分由高到低顺序推荐中标候选人。综合评分相等时，评标委员会应按照评标办法前附表规定的优先次序推荐中标候选人。</w:t>
      </w:r>
    </w:p>
    <w:p w14:paraId="59D7A9D0">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 评标组织</w:t>
      </w:r>
    </w:p>
    <w:p w14:paraId="093CD477">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协助工作组</w:t>
      </w:r>
    </w:p>
    <w:p w14:paraId="6FC526A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招标人可在评标工作开始前成立协助工作组，选派熟悉招标工作、政治素质高的人员组成，协助评标委员会工作。协助工作组人员的具体数量由招标人视评标工作量确定。</w:t>
      </w:r>
    </w:p>
    <w:p w14:paraId="37C86E5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招标人可以协助评标委员会开展下列工作并提供相关信息：</w:t>
      </w:r>
    </w:p>
    <w:p w14:paraId="6039EFCA">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（1）根据招标文件，编制评标使用的相应表格；</w:t>
      </w:r>
    </w:p>
    <w:p w14:paraId="1C6840AA">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（2）对投标报价进行算术性校核；</w:t>
      </w:r>
    </w:p>
    <w:p w14:paraId="52C63CAB">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（3）以评标标准和方法为依据，列出投标文件相对于招标文件的所有偏差，并进行归类汇总。</w:t>
      </w:r>
    </w:p>
    <w:p w14:paraId="2FF7C89C">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招标人不得对投标文件作出任何评价，不得故意遗漏或者片面摘录，不得在评标委员会对所有偏差定性之前透露存有偏差的投标人名称。</w:t>
      </w:r>
    </w:p>
    <w:p w14:paraId="3891C093">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 评标委员会</w:t>
      </w:r>
    </w:p>
    <w:p w14:paraId="77E9A2B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评标委员会的组建按投标人须知第6.1.1项执行。评标委员会的主要工作内容包括：</w:t>
      </w:r>
    </w:p>
    <w:p w14:paraId="79CBC3E1">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（1）评标委员会开始评标工作之前，首先听取招标人、协助工作组关于</w:t>
      </w:r>
      <w:r>
        <w:rPr>
          <w:rFonts w:hint="eastAsia" w:ascii="宋体" w:hAnsi="宋体" w:eastAsia="宋体" w:cs="宋体"/>
          <w:color w:val="auto"/>
          <w:sz w:val="21"/>
          <w:szCs w:val="21"/>
          <w:highlight w:val="none"/>
          <w:lang w:val="en-US" w:eastAsia="zh-CN"/>
        </w:rPr>
        <w:t>医疗保险</w:t>
      </w:r>
      <w:r>
        <w:rPr>
          <w:rFonts w:hint="eastAsia" w:ascii="宋体" w:hAnsi="宋体" w:eastAsia="宋体" w:cs="宋体"/>
          <w:color w:val="auto"/>
          <w:sz w:val="21"/>
          <w:szCs w:val="21"/>
          <w:highlight w:val="none"/>
        </w:rPr>
        <w:t>情况和辅助工作的说明，并认真研读招标文件，获取评标所需的重要信息和数据；</w:t>
      </w:r>
    </w:p>
    <w:p w14:paraId="0C3110C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（2）对协助工作组提供的评标工作用表和评标内容进行核查；</w:t>
      </w:r>
    </w:p>
    <w:p w14:paraId="0B8AE1CA">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（3）按照评标程序进行各项评审工作。</w:t>
      </w:r>
    </w:p>
    <w:p w14:paraId="26E6A50C">
      <w:pPr>
        <w:keepNext w:val="0"/>
        <w:keepLines w:val="0"/>
        <w:pageBreakBefore w:val="0"/>
        <w:widowControl w:val="0"/>
        <w:kinsoku/>
        <w:wordWrap/>
        <w:overflowPunct/>
        <w:topLinePunct w:val="0"/>
        <w:autoSpaceDE w:val="0"/>
        <w:autoSpaceDN w:val="0"/>
        <w:bidi w:val="0"/>
        <w:adjustRightInd w:val="0"/>
        <w:spacing w:line="360" w:lineRule="auto"/>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  评标程序和评审标准</w:t>
      </w:r>
    </w:p>
    <w:p w14:paraId="21ABAA38">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2.1 评标程序</w:t>
      </w:r>
    </w:p>
    <w:p w14:paraId="5D479C52">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评标工作按以下程序进行：</w:t>
      </w:r>
    </w:p>
    <w:p w14:paraId="3C3EFF4A">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（1）初步评审；</w:t>
      </w:r>
    </w:p>
    <w:p w14:paraId="61E09C2F">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（2）资格评审；</w:t>
      </w:r>
    </w:p>
    <w:p w14:paraId="273BE384">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（3）详细评审；</w:t>
      </w:r>
    </w:p>
    <w:p w14:paraId="04C3D820">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（4）投标文件的澄清和说明（如果需要）；</w:t>
      </w:r>
    </w:p>
    <w:p w14:paraId="04B9AC83">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（5）评标结果，结果出来后编写评标报告。</w:t>
      </w:r>
    </w:p>
    <w:p w14:paraId="540F3B54">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2.2 初步评审标准</w:t>
      </w:r>
    </w:p>
    <w:p w14:paraId="7AA8562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2.2.1形式评审标准：见评标办法前附表。</w:t>
      </w:r>
    </w:p>
    <w:p w14:paraId="63BB07C2">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2.2.2响应性评审标准：见评标办法前附表。</w:t>
      </w:r>
    </w:p>
    <w:p w14:paraId="0D244B34">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2.3</w:t>
      </w:r>
      <w:r>
        <w:rPr>
          <w:rFonts w:hint="eastAsia" w:ascii="宋体" w:hAnsi="宋体" w:eastAsia="宋体" w:cs="宋体"/>
          <w:b/>
          <w:color w:val="auto"/>
          <w:kern w:val="0"/>
          <w:sz w:val="21"/>
          <w:szCs w:val="21"/>
          <w:highlight w:val="none"/>
          <w:lang w:val="en-US" w:eastAsia="zh-CN"/>
        </w:rPr>
        <w:t xml:space="preserve"> </w:t>
      </w:r>
      <w:r>
        <w:rPr>
          <w:rFonts w:hint="eastAsia" w:ascii="宋体" w:hAnsi="宋体" w:eastAsia="宋体" w:cs="宋体"/>
          <w:b/>
          <w:color w:val="auto"/>
          <w:kern w:val="0"/>
          <w:sz w:val="21"/>
          <w:szCs w:val="21"/>
          <w:highlight w:val="none"/>
        </w:rPr>
        <w:t>初步评审程序</w:t>
      </w:r>
    </w:p>
    <w:p w14:paraId="56376887">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2.3.1第一个信封初步评审。评标委员会可以要求投标人提交</w:t>
      </w:r>
      <w:r>
        <w:rPr>
          <w:rFonts w:hint="eastAsia" w:ascii="宋体" w:hAnsi="宋体" w:eastAsia="宋体" w:cs="宋体"/>
          <w:bCs/>
          <w:color w:val="auto"/>
          <w:kern w:val="0"/>
          <w:sz w:val="21"/>
          <w:szCs w:val="21"/>
          <w:highlight w:val="none"/>
          <w:lang w:eastAsia="zh-CN"/>
        </w:rPr>
        <w:t>第三章“投标人须知”</w:t>
      </w:r>
      <w:r>
        <w:rPr>
          <w:rFonts w:hint="eastAsia" w:ascii="宋体" w:hAnsi="宋体" w:eastAsia="宋体" w:cs="宋体"/>
          <w:bCs/>
          <w:color w:val="auto"/>
          <w:kern w:val="0"/>
          <w:sz w:val="21"/>
          <w:szCs w:val="21"/>
          <w:highlight w:val="none"/>
        </w:rPr>
        <w:t>第3.5.1项规定的有关证明和证件的原件，以便核验。评标委员会依据本章第2.2款规定的标准对投标文件第一个信封（商务及技术文件）进行初步评审。有一项不符合评审标准的，评标委员会应否决其投标。</w:t>
      </w:r>
    </w:p>
    <w:p w14:paraId="452CC9E1">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2.3.2第二个信封开标。第一个信封（商务及技术文件）评审结束后，招标人将按照</w:t>
      </w:r>
      <w:r>
        <w:rPr>
          <w:rFonts w:hint="eastAsia" w:ascii="宋体" w:hAnsi="宋体" w:eastAsia="宋体" w:cs="宋体"/>
          <w:bCs/>
          <w:color w:val="auto"/>
          <w:kern w:val="0"/>
          <w:sz w:val="21"/>
          <w:szCs w:val="21"/>
          <w:highlight w:val="none"/>
          <w:lang w:eastAsia="zh-CN"/>
        </w:rPr>
        <w:t>第三章“投标人须知”</w:t>
      </w:r>
      <w:r>
        <w:rPr>
          <w:rFonts w:hint="eastAsia" w:ascii="宋体" w:hAnsi="宋体" w:eastAsia="宋体" w:cs="宋体"/>
          <w:bCs/>
          <w:color w:val="auto"/>
          <w:kern w:val="0"/>
          <w:sz w:val="21"/>
          <w:szCs w:val="21"/>
          <w:highlight w:val="none"/>
        </w:rPr>
        <w:t>第5.1款规定的时间和地点对通过投标文件第一个信封（商务及技术文件）评审的投标文件第二个信封（报价文件）进行开标。</w:t>
      </w:r>
    </w:p>
    <w:p w14:paraId="1E8C1EE6">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2.3.3第二个信封初步评审。（1）评标委员会依据本章第2.2.1项、第2.2.2项规定的评审标准对投标文件第二个信封（报价文件）进行初步评审。有一项不符合评审标准的，评标委员会应否决其投标；（2）投标报价有算术性错误的，评标委员会按以下原则对投标报价进行修正，修正的价格无需投标人在评标过程中书面确认，具有约束力。投标人不接受修正价格的，评标委员会应否决其投标。①投标文件中的大写金额与小写金额不一致的，以大写金额为准；②当各子目的合价累计不等于总价时，应以各子目合价累计数为准，修正总价，小数点位置错误的除外。（3）修正后的最终投标报价若超过最高投标限价（如有），评标委员会应否决其投标。（4）修正后的最终投标报价仅作为签订合同的一个依据，不参与评标价得分的计算。</w:t>
      </w:r>
    </w:p>
    <w:p w14:paraId="0A5CD736">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2.4资格评审标准</w:t>
      </w:r>
    </w:p>
    <w:p w14:paraId="4DFF4C19">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资格评审标准：见评标办法前附表。</w:t>
      </w:r>
    </w:p>
    <w:p w14:paraId="2400D7FC">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2.5资格评审程序</w:t>
      </w:r>
    </w:p>
    <w:p w14:paraId="1CAADABE">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color w:val="auto"/>
          <w:sz w:val="21"/>
          <w:szCs w:val="21"/>
          <w:highlight w:val="none"/>
        </w:rPr>
        <w:t>评标委员会可以要求投标人提交</w:t>
      </w:r>
      <w:r>
        <w:rPr>
          <w:rFonts w:hint="eastAsia" w:ascii="宋体" w:hAnsi="宋体" w:eastAsia="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第3.5.1项规定的有关证明和证件的原件，以便核验。评标委员会对投标人提交的投标文件进行资格审查，有一项不符合评审标准的，</w:t>
      </w:r>
      <w:r>
        <w:rPr>
          <w:rFonts w:hint="eastAsia" w:ascii="宋体" w:hAnsi="宋体" w:eastAsia="宋体" w:cs="宋体"/>
          <w:bCs/>
          <w:color w:val="auto"/>
          <w:kern w:val="0"/>
          <w:sz w:val="21"/>
          <w:szCs w:val="21"/>
          <w:highlight w:val="none"/>
        </w:rPr>
        <w:t>评标委员会应否决其投标。</w:t>
      </w:r>
    </w:p>
    <w:p w14:paraId="4C8FB7DA">
      <w:pPr>
        <w:keepNext w:val="0"/>
        <w:keepLines w:val="0"/>
        <w:pageBreakBefore w:val="0"/>
        <w:widowControl w:val="0"/>
        <w:kinsoku/>
        <w:wordWrap/>
        <w:overflowPunct/>
        <w:topLinePunct w:val="0"/>
        <w:autoSpaceDE w:val="0"/>
        <w:autoSpaceDN w:val="0"/>
        <w:bidi w:val="0"/>
        <w:adjustRightInd w:val="0"/>
        <w:spacing w:line="360" w:lineRule="auto"/>
        <w:ind w:firstLine="422" w:firstLineChars="200"/>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2.6详细评审</w:t>
      </w:r>
    </w:p>
    <w:p w14:paraId="210624F6">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Cs/>
          <w:color w:val="auto"/>
          <w:kern w:val="0"/>
          <w:sz w:val="21"/>
          <w:szCs w:val="21"/>
          <w:highlight w:val="none"/>
        </w:rPr>
        <w:t>2.6.1分值构成与评分标准。（1）</w:t>
      </w:r>
      <w:r>
        <w:rPr>
          <w:rFonts w:hint="eastAsia" w:ascii="宋体" w:hAnsi="宋体" w:eastAsia="宋体" w:cs="宋体"/>
          <w:bCs/>
          <w:color w:val="auto"/>
          <w:sz w:val="21"/>
          <w:szCs w:val="21"/>
          <w:highlight w:val="none"/>
        </w:rPr>
        <w:t>分值构成：总分100分，第一个信封（商务及技术文件）技术方案</w:t>
      </w:r>
      <w:r>
        <w:rPr>
          <w:rFonts w:hint="eastAsia" w:ascii="宋体" w:hAnsi="宋体" w:eastAsia="宋体" w:cs="宋体"/>
          <w:bCs/>
          <w:color w:val="auto"/>
          <w:sz w:val="21"/>
          <w:szCs w:val="21"/>
          <w:highlight w:val="none"/>
          <w:lang w:val="en-US" w:eastAsia="zh-CN"/>
        </w:rPr>
        <w:t>30</w:t>
      </w:r>
      <w:r>
        <w:rPr>
          <w:rFonts w:hint="eastAsia" w:ascii="宋体" w:hAnsi="宋体" w:eastAsia="宋体" w:cs="宋体"/>
          <w:bCs/>
          <w:color w:val="auto"/>
          <w:sz w:val="21"/>
          <w:szCs w:val="21"/>
          <w:highlight w:val="none"/>
        </w:rPr>
        <w:t>分、</w:t>
      </w:r>
      <w:r>
        <w:rPr>
          <w:rFonts w:hint="eastAsia" w:ascii="宋体" w:hAnsi="宋体" w:eastAsia="宋体" w:cs="宋体"/>
          <w:bCs/>
          <w:color w:val="auto"/>
          <w:sz w:val="21"/>
          <w:szCs w:val="21"/>
          <w:highlight w:val="none"/>
          <w:lang w:val="en-US" w:eastAsia="zh-CN"/>
        </w:rPr>
        <w:t>商务</w:t>
      </w:r>
      <w:r>
        <w:rPr>
          <w:rFonts w:hint="eastAsia" w:ascii="宋体" w:hAnsi="宋体" w:eastAsia="宋体" w:cs="宋体"/>
          <w:bCs/>
          <w:color w:val="auto"/>
          <w:sz w:val="21"/>
          <w:szCs w:val="21"/>
          <w:highlight w:val="none"/>
        </w:rPr>
        <w:t>能力</w:t>
      </w:r>
      <w:r>
        <w:rPr>
          <w:rFonts w:hint="eastAsia" w:ascii="宋体" w:hAnsi="宋体" w:eastAsia="宋体" w:cs="宋体"/>
          <w:bCs/>
          <w:color w:val="auto"/>
          <w:sz w:val="21"/>
          <w:szCs w:val="21"/>
          <w:highlight w:val="none"/>
          <w:lang w:val="en-US" w:eastAsia="zh-CN"/>
        </w:rPr>
        <w:t>20</w:t>
      </w:r>
      <w:r>
        <w:rPr>
          <w:rFonts w:hint="eastAsia" w:ascii="宋体" w:hAnsi="宋体" w:eastAsia="宋体" w:cs="宋体"/>
          <w:bCs/>
          <w:color w:val="auto"/>
          <w:sz w:val="21"/>
          <w:szCs w:val="21"/>
          <w:highlight w:val="none"/>
        </w:rPr>
        <w:t>分，第二个信封（报价文件）报价评分分值</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0分；（2）评分标准：</w:t>
      </w:r>
      <w:r>
        <w:rPr>
          <w:rFonts w:hint="eastAsia" w:ascii="宋体" w:hAnsi="宋体" w:eastAsia="宋体" w:cs="宋体"/>
          <w:color w:val="auto"/>
          <w:sz w:val="21"/>
          <w:szCs w:val="21"/>
          <w:highlight w:val="none"/>
        </w:rPr>
        <w:t>见评标办法前附表。</w:t>
      </w:r>
    </w:p>
    <w:p w14:paraId="5EDB857E">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2.6.2第一个信封详细评审</w:t>
      </w:r>
    </w:p>
    <w:p w14:paraId="34D69462">
      <w:pPr>
        <w:keepNext w:val="0"/>
        <w:keepLines w:val="0"/>
        <w:pageBreakBefore w:val="0"/>
        <w:widowControl w:val="0"/>
        <w:numPr>
          <w:ilvl w:val="0"/>
          <w:numId w:val="2"/>
        </w:numPr>
        <w:kinsoku/>
        <w:wordWrap/>
        <w:overflowPunct/>
        <w:topLinePunct w:val="0"/>
        <w:autoSpaceDE w:val="0"/>
        <w:autoSpaceDN w:val="0"/>
        <w:bidi w:val="0"/>
        <w:adjustRightInd w:val="0"/>
        <w:spacing w:line="360" w:lineRule="auto"/>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评标委员会按本章第2.6.1项规定的评分标准进行打分，四项得分之和为各投标人的商务及技术得分。</w:t>
      </w:r>
    </w:p>
    <w:p w14:paraId="606805F8">
      <w:pPr>
        <w:keepNext w:val="0"/>
        <w:keepLines w:val="0"/>
        <w:pageBreakBefore w:val="0"/>
        <w:widowControl w:val="0"/>
        <w:numPr>
          <w:ilvl w:val="0"/>
          <w:numId w:val="2"/>
        </w:numPr>
        <w:kinsoku/>
        <w:wordWrap/>
        <w:overflowPunct/>
        <w:topLinePunct w:val="0"/>
        <w:autoSpaceDE w:val="0"/>
        <w:autoSpaceDN w:val="0"/>
        <w:bidi w:val="0"/>
        <w:adjustRightIn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评审因素（评标价评分项除外）及其各评审因素细分项的得分一般不得低于其满分分值的60%，评分低于上述满分分值百分比的，评标委员会成员应当在评标报告中作出说明。</w:t>
      </w:r>
    </w:p>
    <w:p w14:paraId="01A35ECB">
      <w:pPr>
        <w:keepNext w:val="0"/>
        <w:keepLines w:val="0"/>
        <w:pageBreakBefore w:val="0"/>
        <w:widowControl w:val="0"/>
        <w:numPr>
          <w:ilvl w:val="0"/>
          <w:numId w:val="2"/>
        </w:numPr>
        <w:kinsoku/>
        <w:wordWrap/>
        <w:overflowPunct/>
        <w:topLinePunct w:val="0"/>
        <w:autoSpaceDE w:val="0"/>
        <w:autoSpaceDN w:val="0"/>
        <w:bidi w:val="0"/>
        <w:adjustRightIn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评标委员会为5人，投标人商务及技术得分由各评委评分的算术平均分确定；如评标委员会为7人或以上，投标人商务及技术得分由各评委评分去掉一个最高分和一个最低分后的算术平均分确定。最后得分分值计算保留小数点后两位，小数点后第三位“四舍五入”。</w:t>
      </w:r>
    </w:p>
    <w:p w14:paraId="36698D9E">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2.6.3第二个信封详细评审</w:t>
      </w:r>
    </w:p>
    <w:p w14:paraId="56665D5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（1）评标委员会按本章第2.6.1项规定的评审因素和分值对评标价计算出</w:t>
      </w:r>
      <w:r>
        <w:rPr>
          <w:rFonts w:hint="eastAsia" w:ascii="宋体" w:hAnsi="宋体" w:eastAsia="宋体" w:cs="宋体"/>
          <w:color w:val="auto"/>
          <w:sz w:val="21"/>
          <w:szCs w:val="21"/>
          <w:highlight w:val="none"/>
          <w:lang w:eastAsia="zh-CN"/>
        </w:rPr>
        <w:t>报价</w:t>
      </w:r>
      <w:r>
        <w:rPr>
          <w:rFonts w:hint="eastAsia" w:ascii="宋体" w:hAnsi="宋体" w:eastAsia="宋体" w:cs="宋体"/>
          <w:color w:val="auto"/>
          <w:sz w:val="21"/>
          <w:szCs w:val="21"/>
          <w:highlight w:val="none"/>
        </w:rPr>
        <w:t>得分。评标价得分分值计算保留小数点后两位，小数点后第三位“四舍五入”。</w:t>
      </w:r>
    </w:p>
    <w:p w14:paraId="4AA8332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（2）投标人综合得分=商务及技术得分+</w:t>
      </w:r>
      <w:r>
        <w:rPr>
          <w:rFonts w:hint="eastAsia" w:ascii="宋体" w:hAnsi="宋体" w:eastAsia="宋体" w:cs="宋体"/>
          <w:bCs/>
          <w:color w:val="auto"/>
          <w:sz w:val="21"/>
          <w:szCs w:val="21"/>
          <w:highlight w:val="none"/>
        </w:rPr>
        <w:t>报价</w:t>
      </w:r>
      <w:r>
        <w:rPr>
          <w:rFonts w:hint="eastAsia" w:ascii="宋体" w:hAnsi="宋体" w:eastAsia="宋体" w:cs="宋体"/>
          <w:bCs/>
          <w:color w:val="auto"/>
          <w:sz w:val="21"/>
          <w:szCs w:val="21"/>
          <w:highlight w:val="none"/>
          <w:lang w:eastAsia="zh-CN"/>
        </w:rPr>
        <w:t>得分</w:t>
      </w:r>
      <w:r>
        <w:rPr>
          <w:rFonts w:hint="eastAsia" w:ascii="宋体" w:hAnsi="宋体" w:eastAsia="宋体" w:cs="宋体"/>
          <w:color w:val="auto"/>
          <w:sz w:val="21"/>
          <w:szCs w:val="21"/>
          <w:highlight w:val="none"/>
        </w:rPr>
        <w:t>。</w:t>
      </w:r>
    </w:p>
    <w:p w14:paraId="6989C8D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14:paraId="76AEAEEE">
      <w:pPr>
        <w:keepNext w:val="0"/>
        <w:keepLines w:val="0"/>
        <w:pageBreakBefore w:val="0"/>
        <w:widowControl w:val="0"/>
        <w:kinsoku/>
        <w:wordWrap/>
        <w:overflowPunct/>
        <w:topLinePunct w:val="0"/>
        <w:autoSpaceDE w:val="0"/>
        <w:autoSpaceDN w:val="0"/>
        <w:bidi w:val="0"/>
        <w:adjustRightInd w:val="0"/>
        <w:snapToGrid w:val="0"/>
        <w:spacing w:before="120" w:beforeLines="50" w:after="120" w:afterLines="50" w:line="400" w:lineRule="exact"/>
        <w:ind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2.7投标文件相关信息的核查</w:t>
      </w:r>
    </w:p>
    <w:p w14:paraId="7C36433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2.7.1 在评标过程中，评标委员会应对投标人的资质、业绩、信誉、人员等信息进行核实。</w:t>
      </w:r>
    </w:p>
    <w:p w14:paraId="600480D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2.7.2 评标委员会应对在评标过程中发现的投标人与投标人之间、投标人与招标人之间存在的串通投标的情形进行评审和认定。投标人存在串通投标、弄虚作假、行贿等违法行为的，评标委员会应否决其投标。</w:t>
      </w:r>
    </w:p>
    <w:p w14:paraId="02309A3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（1）有下列情形之一的，属于投标人相互串通投标：</w:t>
      </w:r>
    </w:p>
    <w:p w14:paraId="2205016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a.投标人之间协商投标报价等投标文件的实质性内容；</w:t>
      </w:r>
    </w:p>
    <w:p w14:paraId="03D59C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b.投标人之间约定中标人；</w:t>
      </w:r>
    </w:p>
    <w:p w14:paraId="4A9EDFD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c.投标人之间约定部分投标人放弃投标或中标；</w:t>
      </w:r>
    </w:p>
    <w:p w14:paraId="049A8AB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d.属于同一集团、协会、商会等组织成员的投标人按照该组织要求协同投标；</w:t>
      </w:r>
    </w:p>
    <w:p w14:paraId="0F56FB6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e.投标人之间为谋取中标或排斥特定投标人而采取的其他联合行动。</w:t>
      </w:r>
    </w:p>
    <w:p w14:paraId="789F2D7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（2）有下列情形之一的，视为投标人相互串通投标：</w:t>
      </w:r>
    </w:p>
    <w:p w14:paraId="0A7BE75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a.不同投标人的投标文件由同一单位或个人编制；</w:t>
      </w:r>
    </w:p>
    <w:p w14:paraId="7DA5C70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b.不同投标人委托同一单位或个人办理投标事宜；</w:t>
      </w:r>
    </w:p>
    <w:p w14:paraId="5E3F4A6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c.不同投标人的投标文件载明的项目管理成员为同一人；</w:t>
      </w:r>
    </w:p>
    <w:p w14:paraId="34030C6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d.不同投标人的投标文件异常一致或投标报价呈规律性差异；</w:t>
      </w:r>
    </w:p>
    <w:p w14:paraId="59EA1C2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e.不同投标人的投标文件相互混装；</w:t>
      </w:r>
    </w:p>
    <w:p w14:paraId="72A1B36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f.不同投标人的投标保证金从同一单位或个人的账户转出。</w:t>
      </w:r>
    </w:p>
    <w:p w14:paraId="53AA66A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（3）有下列情形之一的，属于招标人与投标人串通投标：</w:t>
      </w:r>
    </w:p>
    <w:p w14:paraId="41D611C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a.招标人在开标前开启投标文件并将有关信息泄露给其他投标人；</w:t>
      </w:r>
    </w:p>
    <w:p w14:paraId="0DF3EC9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b.招标人直接或间接向投标人泄露标底、评标委员会成员等信息；</w:t>
      </w:r>
    </w:p>
    <w:p w14:paraId="5F1501C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c.招标人明示或暗示投标人压低或抬高投标报价；</w:t>
      </w:r>
    </w:p>
    <w:p w14:paraId="0A433A4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d.招标人授意投标人撤换、修改投标文件；</w:t>
      </w:r>
    </w:p>
    <w:p w14:paraId="5409BFE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e.招标人明示或暗示投标人为特定投标人中标提供方便；</w:t>
      </w:r>
    </w:p>
    <w:p w14:paraId="23B40D7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f.招标人与投标人为谋求特定投标人中标而采取的其他串通行为。</w:t>
      </w:r>
    </w:p>
    <w:p w14:paraId="49912EF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（4）投标人有下列情形之一的，属于弄虚作假的行为：</w:t>
      </w:r>
    </w:p>
    <w:p w14:paraId="3A01298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a.使用通过受让或租借等方式获取的资格、资质证书投标；</w:t>
      </w:r>
    </w:p>
    <w:p w14:paraId="7C40B37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b.使用伪造、变造的许可证件；</w:t>
      </w:r>
    </w:p>
    <w:p w14:paraId="7E978ED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c.提供虚假的业绩；</w:t>
      </w:r>
    </w:p>
    <w:p w14:paraId="37E443A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d.提供虚假的项目负责人或主要技术人员简历、劳动关系证明；</w:t>
      </w:r>
    </w:p>
    <w:p w14:paraId="12404D0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e.提供虚假的信用状况；</w:t>
      </w:r>
    </w:p>
    <w:p w14:paraId="06E6202E">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color w:val="auto"/>
          <w:sz w:val="21"/>
          <w:szCs w:val="21"/>
          <w:highlight w:val="none"/>
        </w:rPr>
        <w:t>f.其他弄虚作假的行为。</w:t>
      </w:r>
    </w:p>
    <w:p w14:paraId="345825C0">
      <w:pPr>
        <w:keepNext w:val="0"/>
        <w:keepLines w:val="0"/>
        <w:pageBreakBefore w:val="0"/>
        <w:widowControl w:val="0"/>
        <w:kinsoku/>
        <w:wordWrap/>
        <w:overflowPunct/>
        <w:topLinePunct w:val="0"/>
        <w:autoSpaceDE w:val="0"/>
        <w:autoSpaceDN w:val="0"/>
        <w:bidi w:val="0"/>
        <w:adjustRightInd w:val="0"/>
        <w:snapToGrid w:val="0"/>
        <w:spacing w:before="120" w:beforeLines="50" w:after="120" w:afterLines="50" w:line="400" w:lineRule="exact"/>
        <w:ind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2.8投标文件的澄清和说明</w:t>
      </w:r>
    </w:p>
    <w:p w14:paraId="7026774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w:t>
      </w:r>
    </w:p>
    <w:p w14:paraId="2E9B0F6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2.8.2 澄清和说明不得超出投标文件的范围或改变投标文件的实质性内容（算术性错误的修正除外）。投标人的书面澄清、说明属于投标文件的组成部分。</w:t>
      </w:r>
    </w:p>
    <w:p w14:paraId="5BB2655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2.8.3 评标委员会不得暗示或诱导投标人作出澄清、说明，对投标人提交的澄清、说明有疑问的，可以要求投标人进一步澄清或说明，直至满足评标委员会的要求。</w:t>
      </w:r>
    </w:p>
    <w:p w14:paraId="0E8D68B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2.8.4 凡超出招标文件规定的或给</w:t>
      </w:r>
      <w:r>
        <w:rPr>
          <w:rFonts w:hint="eastAsia" w:ascii="宋体" w:hAnsi="宋体" w:eastAsia="宋体" w:cs="宋体"/>
          <w:color w:val="auto"/>
          <w:sz w:val="21"/>
          <w:szCs w:val="21"/>
          <w:highlight w:val="none"/>
          <w:lang w:eastAsia="zh-CN"/>
        </w:rPr>
        <w:t>招标人</w:t>
      </w:r>
      <w:r>
        <w:rPr>
          <w:rFonts w:hint="eastAsia" w:ascii="宋体" w:hAnsi="宋体" w:eastAsia="宋体" w:cs="宋体"/>
          <w:color w:val="auto"/>
          <w:sz w:val="21"/>
          <w:szCs w:val="21"/>
          <w:highlight w:val="none"/>
        </w:rPr>
        <w:t>带来未曾要求的利益的变化、偏差或其他因素在评标时不予考虑。</w:t>
      </w:r>
    </w:p>
    <w:p w14:paraId="452E777E">
      <w:pPr>
        <w:keepNext w:val="0"/>
        <w:keepLines w:val="0"/>
        <w:pageBreakBefore w:val="0"/>
        <w:widowControl w:val="0"/>
        <w:kinsoku/>
        <w:wordWrap/>
        <w:overflowPunct/>
        <w:topLinePunct w:val="0"/>
        <w:autoSpaceDE w:val="0"/>
        <w:autoSpaceDN w:val="0"/>
        <w:bidi w:val="0"/>
        <w:adjustRightInd w:val="0"/>
        <w:snapToGrid w:val="0"/>
        <w:spacing w:before="120" w:beforeLines="50" w:after="120" w:afterLines="50" w:line="400" w:lineRule="exact"/>
        <w:ind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2.9不得否决投标的情形</w:t>
      </w:r>
    </w:p>
    <w:p w14:paraId="1721675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投标文件存在</w:t>
      </w:r>
      <w:r>
        <w:rPr>
          <w:rFonts w:hint="eastAsia" w:ascii="宋体" w:hAnsi="宋体" w:eastAsia="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第1.12.3项所列情形的，均视为细微偏差，评标委员会不得否决投标人的投标，应按照</w:t>
      </w:r>
      <w:r>
        <w:rPr>
          <w:rFonts w:hint="eastAsia" w:ascii="宋体" w:hAnsi="宋体" w:eastAsia="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第1.12.4项规定的原则处理。</w:t>
      </w:r>
    </w:p>
    <w:p w14:paraId="5D45E408">
      <w:pPr>
        <w:keepNext w:val="0"/>
        <w:keepLines w:val="0"/>
        <w:pageBreakBefore w:val="0"/>
        <w:widowControl w:val="0"/>
        <w:kinsoku/>
        <w:wordWrap/>
        <w:overflowPunct/>
        <w:topLinePunct w:val="0"/>
        <w:autoSpaceDE w:val="0"/>
        <w:autoSpaceDN w:val="0"/>
        <w:bidi w:val="0"/>
        <w:adjustRightInd w:val="0"/>
        <w:snapToGrid w:val="0"/>
        <w:spacing w:before="120" w:beforeLines="50" w:after="120" w:afterLines="50" w:line="400" w:lineRule="exact"/>
        <w:ind w:firstLine="422" w:firstLineChars="200"/>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2.10评标结果</w:t>
      </w:r>
    </w:p>
    <w:p w14:paraId="1FEB5CE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2.10.1 除</w:t>
      </w:r>
      <w:r>
        <w:rPr>
          <w:rFonts w:hint="eastAsia" w:ascii="宋体" w:hAnsi="宋体" w:eastAsia="宋体" w:cs="宋体"/>
          <w:color w:val="auto"/>
          <w:sz w:val="21"/>
          <w:szCs w:val="21"/>
          <w:highlight w:val="none"/>
          <w:lang w:eastAsia="zh-CN"/>
        </w:rPr>
        <w:t>第三章“投标人须知”</w:t>
      </w:r>
      <w:r>
        <w:rPr>
          <w:rFonts w:hint="eastAsia" w:ascii="宋体" w:hAnsi="宋体" w:eastAsia="宋体" w:cs="宋体"/>
          <w:color w:val="auto"/>
          <w:sz w:val="21"/>
          <w:szCs w:val="21"/>
          <w:highlight w:val="none"/>
        </w:rPr>
        <w:t>前附表授权直接确定中标人外，评标委员会按照综合得分由高到低的顺序推荐中标候选人，并标明排序。</w:t>
      </w:r>
    </w:p>
    <w:p w14:paraId="41667EB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2.10.2 评标委员会完成评标后，应向招标人提交书面评标报告。</w:t>
      </w:r>
    </w:p>
    <w:p w14:paraId="38B8F641">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2.10.3推荐中标候选人方式：按上述方式推荐3名中标候选人，若不足3名，则按实际数量推荐。</w:t>
      </w:r>
    </w:p>
    <w:p w14:paraId="3AEF038C">
      <w:pPr>
        <w:widowControl/>
        <w:autoSpaceDE/>
        <w:autoSpaceDN/>
        <w:adjustRightInd/>
        <w:spacing w:line="360" w:lineRule="auto"/>
        <w:jc w:val="center"/>
        <w:rPr>
          <w:rFonts w:hint="eastAsia" w:ascii="宋体" w:hAnsi="宋体" w:eastAsia="宋体" w:cs="宋体"/>
          <w:b/>
          <w:bCs/>
          <w:color w:val="auto"/>
          <w:sz w:val="30"/>
          <w:szCs w:val="30"/>
          <w:highlight w:val="none"/>
        </w:rPr>
      </w:pPr>
    </w:p>
    <w:p w14:paraId="4464B25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FF92F"/>
    <w:multiLevelType w:val="singleLevel"/>
    <w:tmpl w:val="FDEFF92F"/>
    <w:lvl w:ilvl="0" w:tentative="0">
      <w:start w:val="1"/>
      <w:numFmt w:val="decimal"/>
      <w:suff w:val="nothing"/>
      <w:lvlText w:val="（%1）"/>
      <w:lvlJc w:val="left"/>
    </w:lvl>
  </w:abstractNum>
  <w:abstractNum w:abstractNumId="1">
    <w:nsid w:val="15622495"/>
    <w:multiLevelType w:val="singleLevel"/>
    <w:tmpl w:val="15622495"/>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3508F8"/>
    <w:rsid w:val="72350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customStyle="1" w:styleId="5">
    <w:name w:val="正文文本 (17)"/>
    <w:basedOn w:val="1"/>
    <w:qFormat/>
    <w:uiPriority w:val="99"/>
    <w:pPr>
      <w:shd w:val="clear" w:color="auto" w:fill="FFFFFF"/>
      <w:spacing w:line="240" w:lineRule="atLeast"/>
      <w:jc w:val="distribute"/>
    </w:pPr>
    <w:rPr>
      <w:rFonts w:ascii="MingLiU" w:eastAsia="MingLiU" w:cs="MingLiU"/>
      <w:spacing w:val="-10"/>
      <w:kern w:val="0"/>
      <w:sz w:val="22"/>
      <w:szCs w:val="22"/>
    </w:rPr>
  </w:style>
  <w:style w:type="character" w:customStyle="1" w:styleId="6">
    <w:name w:val="正文文本 (17) + 间距 0 pt1"/>
    <w:qFormat/>
    <w:uiPriority w:val="99"/>
    <w:rPr>
      <w:rFonts w:ascii="MingLiU" w:eastAsia="MingLiU" w:cs="MingLiU"/>
      <w:spacing w:val="0"/>
      <w:sz w:val="22"/>
      <w:szCs w:val="22"/>
      <w:u w:val="none"/>
    </w:rPr>
  </w:style>
  <w:style w:type="character" w:customStyle="1" w:styleId="7">
    <w:name w:val="正文文本 (2) + 间距 0 pt5"/>
    <w:qFormat/>
    <w:uiPriority w:val="99"/>
    <w:rPr>
      <w:rFonts w:ascii="MingLiU" w:eastAsia="MingLiU" w:cs="MingLiU"/>
      <w:spacing w:val="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2025-07-30T02:12:00Z</dcterms:created>
  <dc:creator>W</dc:creator>
  <cp:lastModifiedBy>W</cp:lastModifiedBy>
  <dcterms:modified xsi:type="dcterms:W3CDTF">2025-07-30T02:13:43Z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7B888F35187F4DA397E7D0DFBFE0DD97_11</vt:lpwstr>
  </property>
  <property fmtid="{D5CDD505-2E9C-101B-9397-08002B2CF9AE}" pid="4" name="KSOTemplateDocerSaveRecord">
    <vt:lpwstr>eyJoZGlkIjoiYzk2NzJlODYzMjgxNWFjMWNkOWM0ZWQ4YTJhOTI4MTIiLCJ1c2VySWQiOiIzNDg4Njg2NTEifQ==</vt:lpwstr>
  </property>
</Properties>
</file>